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76F2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76F2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76F2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76F2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76F2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76F2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76F2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76F2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76F2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76F2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76F2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76F2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76F2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25B7C4A" w:rsidR="00355460" w:rsidRPr="00E263EC" w:rsidRDefault="00870FE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52629E2" w:rsidR="00B66AF3" w:rsidRDefault="00276F2E" w:rsidP="00B66AF3">
          <w:r>
            <w:t>9.1.2 Passenger volume (passenger kilometres) [9.1.2] (IS_RDP_PFVOL)</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86694867"/>
        <w:placeholder>
          <w:docPart w:val="BDB9DB25D14148B7A93DCC02B5767D0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56508774" w:edGrp="everyone" w:displacedByCustomXml="prev"/>
        <w:p w14:paraId="733110A9" w14:textId="718BE1F2" w:rsidR="00D71827" w:rsidRDefault="00AE6E86" w:rsidP="00D71827">
          <w:r>
            <w:t>9.1.2 Freight volume (tonne kilometres) [9.1.2] (IS_RDP_FRGVOL)</w:t>
          </w:r>
        </w:p>
        <w:permEnd w:id="1856508774" w:displacedByCustomXml="next"/>
      </w:sdtContent>
    </w:sdt>
    <w:p w14:paraId="5F0D1791" w14:textId="77777777" w:rsidR="00D71827" w:rsidRDefault="00D71827" w:rsidP="002806B7">
      <w:pPr>
        <w:spacing w:after="0"/>
        <w:rPr>
          <w:sz w:val="26"/>
          <w:szCs w:val="26"/>
        </w:rPr>
      </w:pPr>
    </w:p>
    <w:p w14:paraId="5106D9ED" w14:textId="31A5DC3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56" type="#_x0000_t75" style="width:91.5pt;height:24pt" o:ole="">
            <v:imagedata r:id="rId14" o:title=""/>
          </v:shape>
          <w:control r:id="rId15" w:name="RemoveSeries" w:shapeid="_x0000_i1056"/>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1106E2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FAAB79B" w:rsidR="005377B9" w:rsidRPr="009F305C" w:rsidRDefault="00AE6E86" w:rsidP="009F305C">
            <w:r>
              <w:t xml:space="preserve">The measure of </w:t>
            </w:r>
            <w:r w:rsidRPr="00B53EF1">
              <w:t>Passenger volumes in passenger-</w:t>
            </w:r>
            <w:proofErr w:type="spellStart"/>
            <w:r w:rsidRPr="00B53EF1">
              <w:t>k</w:t>
            </w:r>
            <w:r>
              <w:t>ilometres</w:t>
            </w:r>
            <w:proofErr w:type="spellEnd"/>
            <w:r>
              <w:t>, freight volumes measured in</w:t>
            </w:r>
            <w:r w:rsidRPr="00B53EF1">
              <w:t xml:space="preserve"> </w:t>
            </w:r>
            <w:proofErr w:type="spellStart"/>
            <w:r w:rsidRPr="00B53EF1">
              <w:t>tonne-k</w:t>
            </w:r>
            <w:r>
              <w:t>ilometres</w:t>
            </w:r>
            <w:proofErr w:type="spellEnd"/>
            <w:r w:rsidRPr="00B53EF1">
              <w:t xml:space="preserve">, and broken down by mode of transport. For the purposes of monitoring this indicator, </w:t>
            </w:r>
            <w:r>
              <w:t xml:space="preserve">the </w:t>
            </w:r>
            <w:r w:rsidRPr="00B53EF1">
              <w:t xml:space="preserve">passenger-km data are split between aviation, road (broken down between passenger cars, buses and motorcycles) and rail, and </w:t>
            </w:r>
            <w:proofErr w:type="spellStart"/>
            <w:r w:rsidRPr="00B53EF1">
              <w:t>tonne</w:t>
            </w:r>
            <w:proofErr w:type="spellEnd"/>
            <w:r w:rsidRPr="00B53EF1">
              <w:t xml:space="preserve">-km are split between aviation, road, rail and inland waterways. </w:t>
            </w:r>
            <w:r w:rsidRPr="007E6D34">
              <w:t>Maritime freight is measured in metric tons and container port traffic is measured</w:t>
            </w:r>
            <w:r w:rsidRPr="003223C8">
              <w:rPr>
                <w:color w:val="000000"/>
              </w:rPr>
              <w:t xml:space="preserve"> in </w:t>
            </w:r>
            <w:r w:rsidRPr="003223C8">
              <w:t>twenty-foot equivalent unit (TEU)</w:t>
            </w:r>
            <w:r w:rsidRPr="003223C8">
              <w:rPr>
                <w:color w:val="000000"/>
              </w:rPr>
              <w:t>.</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F39516B" w:rsidR="005377B9" w:rsidRPr="009F305C" w:rsidRDefault="00AE6E86" w:rsidP="008F66CD">
            <w:pPr>
              <w:pStyle w:val="MGTHeader"/>
            </w:pPr>
            <w:r>
              <w:t>Goal 9: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4FA12DB" w:rsidR="005377B9" w:rsidRPr="009F305C" w:rsidRDefault="00AE6E86" w:rsidP="008F66CD">
            <w:pPr>
              <w:pStyle w:val="MGTHeader"/>
            </w:pPr>
            <w:r>
              <w:t>Target 9.1: Develop quality, reliable, sustainable and resilient infrastructure, including regional and transborder infrastructure, to support economic development and human well-being, with a focus on affordable and equitable access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E507692" w:rsidR="00AE6E86" w:rsidRPr="009F305C" w:rsidRDefault="00AE6E86" w:rsidP="009F305C">
            <w:r w:rsidRPr="002425C0">
              <w:rPr>
                <w:color w:val="333333"/>
                <w:sz w:val="21"/>
                <w:szCs w:val="21"/>
              </w:rPr>
              <w:t>Indicator 9.1.2: Passenger and freight volumes, by mode of transport</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D30F2F2" w:rsidR="005377B9" w:rsidRPr="009F305C" w:rsidRDefault="00AE6E86" w:rsidP="009F305C">
            <w:r>
              <w:t xml:space="preserve">Proxy: Measure of </w:t>
            </w:r>
            <w:r w:rsidRPr="002425C0">
              <w:rPr>
                <w:color w:val="333333"/>
                <w:sz w:val="21"/>
                <w:szCs w:val="21"/>
              </w:rPr>
              <w:t>Passenger and freight volumes, by mode of transport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A4358E" w:rsidR="005377B9" w:rsidRPr="009F305C" w:rsidRDefault="00936426"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52B0620"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E5A8B19" w:rsidR="005377B9" w:rsidRPr="009F305C" w:rsidRDefault="00AE6E86" w:rsidP="009F305C">
            <w:r>
              <w:t>International Civil Aviation Organization (ICAO); International Transport Forum (ITF); United Nations Conference on Trade and Development (UNCTAD)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5028B9E"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3021C17" w:rsidR="003E7389" w:rsidRPr="009F305C" w:rsidRDefault="00AE6E86" w:rsidP="002A7797">
            <w:r>
              <w:t>Senior Manager, National Accounts, Tourism, Transport and ICT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8B41126" w:rsidR="003E7389" w:rsidRPr="009F305C" w:rsidRDefault="00AE6E86" w:rsidP="002A7797">
            <w:r>
              <w:t>National Accounts, Tourism, Transport and ICT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61C277E" w:rsidR="003E7389" w:rsidRPr="009F305C" w:rsidRDefault="002A7797" w:rsidP="009F305C">
            <w:r>
              <w:t>Production and D</w:t>
            </w:r>
            <w:r w:rsidR="00A220AB">
              <w:t xml:space="preserve">issemination of </w:t>
            </w:r>
            <w:r w:rsidR="00AE6E86">
              <w:t>National Accounts, Tourism, Transport and ICT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4297EFA" w:rsidR="003E7389" w:rsidRPr="009F305C" w:rsidRDefault="00AE6E86" w:rsidP="009F305C">
            <w:r>
              <w:t>director</w:t>
            </w:r>
            <w:r w:rsidR="002841F0">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64525D8" w14:textId="77777777" w:rsidR="002A7797" w:rsidRPr="004E5EB9" w:rsidRDefault="002A7797" w:rsidP="009E3B68">
            <w:pPr>
              <w:pStyle w:val="MText"/>
              <w:jc w:val="both"/>
              <w:rPr>
                <w:b/>
              </w:rPr>
            </w:pPr>
            <w:r w:rsidRPr="004E5EB9">
              <w:rPr>
                <w:b/>
              </w:rPr>
              <w:t>Definition:</w:t>
            </w:r>
          </w:p>
          <w:p w14:paraId="70CF56E7" w14:textId="77777777" w:rsidR="00AE6E86" w:rsidRDefault="00AE6E86" w:rsidP="009E3B68">
            <w:pPr>
              <w:pStyle w:val="MText"/>
              <w:jc w:val="both"/>
            </w:pPr>
            <w:r>
              <w:t xml:space="preserve">Definitions: Passenger volumes are measured in passenger-kilometres while freight volumes are measured in tonne kilometres, and broken down by mode of transport. For the purposes of monitoring this indicator, passenger-km data are split between aviation, road (broken down between passenger cars, buses and motorcycles) and rail, and tonne-km are split between aviation, road, rail and inland waterways. Maritime freight is measured in metric tons and container port traffic is measured in twenty-foot equivalent unit (TEU). Last updated: 2023-09-12 Concepts: Aviation: The International Civil Aviation Organization (ICAO) through its Statistics Division has established standard methodologies and definitions to collect and report traffic (passenger and freight volume) data related to air transport. These standards and methodologies have been adopted by the 193 Member States of ICAO and also by the Industry stakeholders i.e. air carriers and airports. The data of ICAO is used by States and also the World Bank for its development indicators. ICAO uses Air Transport Reporting Forms A, AS, B and C to arrive at the passenger and freight volumes for air transport. The aviation data reported under indicator 9.1.2 is for scheduled traffic. Precise definition of all different concepts and metadata related to Air Transport Reporting Forms A, AS, B and C to arrive at the passenger and freight volumes for air transport, as approved by the ICAO Statistics Division and Member States can be found at the ICAO website given below - http://www.icao.int/sustainability/pages/eap-sta-excel.aspx/. </w:t>
            </w:r>
          </w:p>
          <w:p w14:paraId="7B3A6E1A" w14:textId="6F139441" w:rsidR="002A7797" w:rsidRDefault="00AE6E86" w:rsidP="009E3B68">
            <w:pPr>
              <w:pStyle w:val="MText"/>
              <w:jc w:val="both"/>
            </w:pPr>
            <w:r>
              <w:t xml:space="preserve">Maritime Definitions: International maritime freight is an indicator reflecting (1) the sum of international freight volumes loaded (exports) and unloaded (imports) at ports worldwide and measured in metric tonnes, and (2) container port traffic at world ports measured in twenty-foot equivalent unit (TEU). Data is collected by the UNCTAD secretariat from various sources, including industry, government and specialised maritime transport data providers and consultancies. Volumes are expressed in metric tonnes and twenty-foot equivalent unit (TEU). As data on international maritime freight volumes are not widely available, only the data in tonnes (rather than tonne-km) and at the regional level are reported. Data at country level are available for container port traffic measured in twenty-foot equivalent unit (TEU). Concepts: The UNCTAD secretariat collects and compiles the data from various websites and reports, including, by port and industry associations and authorities, national statistics offices, UN Monthly Bulletin of Statistics, governments, specialised agencies such as the International Energy Agency (IEA), the US Energy Information Administration (EIA), the Organization of the Petroleum Exporting Countries (OPEC), and British Petroleum (BP). Data is also collected from reports issued by maritime specialised sources such as Drewry Maritime Research (DMR), </w:t>
            </w:r>
            <w:proofErr w:type="spellStart"/>
            <w:r>
              <w:t>Clarksons</w:t>
            </w:r>
            <w:proofErr w:type="spellEnd"/>
            <w:r>
              <w:t xml:space="preserve"> Research Services (CRS), </w:t>
            </w:r>
            <w:proofErr w:type="spellStart"/>
            <w:r>
              <w:t>Dynamar</w:t>
            </w:r>
            <w:proofErr w:type="spellEnd"/>
            <w:r>
              <w:t xml:space="preserve">, and Lloyd’s List Intelligence (LLI). Road, Rail, Inland waterways </w:t>
            </w:r>
            <w:proofErr w:type="gramStart"/>
            <w:r>
              <w:t>For</w:t>
            </w:r>
            <w:proofErr w:type="gramEnd"/>
            <w:r>
              <w:t xml:space="preserve"> definitions of all relevant terms, the UNECE/ITF/Eurostat Glossary for Transport Statistics can be consulted. The 5th edition of this publication is available at https://unece.org/DAM/trans/main/wp6/pdfdocs/Glossary_for_Transport_Statistics_EN.pdf.</w:t>
            </w:r>
          </w:p>
          <w:p w14:paraId="6C84E827" w14:textId="6C46603C" w:rsidR="00134C27" w:rsidRPr="009F305C" w:rsidRDefault="00134C27" w:rsidP="009E3B68">
            <w:pPr>
              <w:pStyle w:val="MText"/>
              <w:jc w:val="both"/>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D35F841" w:rsidR="0015178E" w:rsidRPr="009F305C" w:rsidRDefault="00AE6E86" w:rsidP="009F305C">
            <w:r>
              <w:t>Aviation: Revenue Passenger-</w:t>
            </w:r>
            <w:proofErr w:type="spellStart"/>
            <w:r>
              <w:t>Kilometres</w:t>
            </w:r>
            <w:proofErr w:type="spellEnd"/>
            <w:r>
              <w:t xml:space="preserve"> (RPK) and Freight </w:t>
            </w:r>
            <w:proofErr w:type="spellStart"/>
            <w:r>
              <w:t>Tonne-Kilometres</w:t>
            </w:r>
            <w:proofErr w:type="spellEnd"/>
            <w:r>
              <w:t xml:space="preserve"> (FTK) </w:t>
            </w:r>
            <w:proofErr w:type="spellStart"/>
            <w:r>
              <w:t>Martime</w:t>
            </w:r>
            <w:proofErr w:type="spellEnd"/>
            <w:r>
              <w:t xml:space="preserve">: Metric </w:t>
            </w:r>
            <w:proofErr w:type="spellStart"/>
            <w:r>
              <w:t>tonnes</w:t>
            </w:r>
            <w:proofErr w:type="spellEnd"/>
            <w:r>
              <w:t xml:space="preserve"> and twenty-foot equivalent unit (TEU). Road, Rail: Passenger-</w:t>
            </w:r>
            <w:proofErr w:type="spellStart"/>
            <w:r>
              <w:t>Kilometres</w:t>
            </w:r>
            <w:proofErr w:type="spellEnd"/>
            <w:r>
              <w:t xml:space="preserve"> (</w:t>
            </w:r>
            <w:proofErr w:type="spellStart"/>
            <w:r>
              <w:t>Pkm</w:t>
            </w:r>
            <w:proofErr w:type="spellEnd"/>
            <w:r>
              <w:t xml:space="preserve">) and </w:t>
            </w:r>
            <w:proofErr w:type="spellStart"/>
            <w:r>
              <w:t>Tonne-Kilometres</w:t>
            </w:r>
            <w:proofErr w:type="spellEnd"/>
            <w:r>
              <w:t xml:space="preserve"> (</w:t>
            </w:r>
            <w:proofErr w:type="spellStart"/>
            <w:r>
              <w:t>Tkm</w:t>
            </w:r>
            <w:proofErr w:type="spellEnd"/>
            <w:r>
              <w:t xml:space="preserve">) Inland Waterways: </w:t>
            </w:r>
            <w:proofErr w:type="spellStart"/>
            <w:r>
              <w:t>Tonne-Kilometres</w:t>
            </w:r>
            <w:proofErr w:type="spellEnd"/>
            <w:r>
              <w:t xml:space="preserve"> (</w:t>
            </w:r>
            <w:proofErr w:type="spellStart"/>
            <w:r>
              <w:t>Tkm</w:t>
            </w:r>
            <w:proofErr w:type="spellEnd"/>
            <w:r>
              <w:t xml:space="preserve">), Road – </w:t>
            </w:r>
            <w:proofErr w:type="spellStart"/>
            <w:r>
              <w:t>KSh</w:t>
            </w:r>
            <w:proofErr w:type="spellEnd"/>
            <w:r>
              <w:t xml:space="preserve"> Million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A8DDB71" w:rsidR="0015178E" w:rsidRPr="009F305C" w:rsidRDefault="00AE6E86" w:rsidP="009F305C">
            <w:r>
              <w:t>Regional and sub-regional level data based on UNSD classification.</w:t>
            </w:r>
            <w:r w:rsidR="00936426">
              <w:t>, 2014</w:t>
            </w:r>
            <w:r w:rsidR="00335A69">
              <w:t>, ISIC Rev. 4, Systems of National Accounts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F324AC5" w:rsidR="0035311B" w:rsidRPr="009F305C" w:rsidRDefault="003257B9" w:rsidP="007003B6">
            <w:r>
              <w:t>Railways Corporation, Kenya Ports Authority, Kenya Pipeline Company, Kenya Airports Authority, Kenya Civil Aviation Authority, Postal corporation of Kenya/Communication Authority of Kenya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2BC8506" w:rsidR="0035311B" w:rsidRPr="009F305C" w:rsidRDefault="0083498D" w:rsidP="007003B6">
            <w:r>
              <w:t>A</w:t>
            </w:r>
            <w:r w:rsidR="007003B6">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48F3FE6" w:rsidR="0035311B" w:rsidRPr="009F305C" w:rsidRDefault="007003B6" w:rsidP="007003B6">
            <w:r>
              <w:t xml:space="preserve">Annual </w:t>
            </w:r>
            <w:r w:rsidR="0083498D">
              <w:t>Economic Survey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7C5FAF" w:rsidR="0035311B" w:rsidRPr="009F305C" w:rsidRDefault="007003B6" w:rsidP="00564845">
            <w:r>
              <w:t>End of 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F6F431" w:rsidR="0035311B" w:rsidRPr="009F305C" w:rsidRDefault="0083498D" w:rsidP="007003B6">
            <w:r>
              <w:t xml:space="preserve"> Stakeholders (Administrative Data)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D91738">
            <w:pPr>
              <w:jc w:val="both"/>
            </w:pPr>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8F4C456" w:rsidR="007F2D9F" w:rsidRPr="009F305C" w:rsidRDefault="003257B9" w:rsidP="00164718">
            <w:pPr>
              <w:pStyle w:val="MText"/>
              <w:jc w:val="both"/>
            </w:pPr>
            <w:r>
              <w:t>Develop quality, reliable, sustainable and resilient infrastructure, including regional and trans-border infrastructure, to support economic development and human well-being, with a focus on affordable and equitable access for all. Trans-border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Last updated: 2023-09-12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sustainability of the global transport system. Aviation: Informed decision-making is the foundation upon which successful businesses are built. In a fast-growing industry like aviation, planners and investors require the most comprehensive, up-to-date, and reliable data. ICAO’s aviation data/statistics programme is to provide accurate, reliable and consistent aviation data so that States, international organizations, aviation industry, tourism and other stakeholders can make better projections. The UN recognized ICAO as the central agency responsible for the collection, analysis, publication, standardization, improvement and dissemination of statistics pertaining to civil aviation. Maritime: The volume of international maritime freight and container port traffic movements provide an overall indication of the importance of port infrastructure for trade and development and may be relied upon to infer the quality and adequacy of seaports and their hinterland connections. Maritime transport is the dominant mode of international freight transport when flows are measured in volume terms. Behind the global and regional headline estimates, individual contributions vary by region and type of cargo, reflecting, among other factors, differences in countries’ economic structures, composition of trade, urbanization, levels of development, extent of integration into global trading networks, degree of participation in global supply chains, and the quality of transport infrastructure. World container port traffic reflects the importance of containerized trade and countries’ participation in global liner shipping networks and globalized manufacturing production processes. Road, Rail, Inland waterways: The International Transport Forum has developed a set of modelling tools to build its own forward-looking scenarios of transport activity. Covering all modes of transport, freight and passenger, the tools are unified under a single framework. For passenger volumes, the following models are used to generate the data: the urban passenger transport model and the non-urban passenger transport model. The urban passenger transport model is a strategic tool to test the impacts of policies and technology trends on urban travel demand, related CO2 emissions and accessibility indicators. The non-urban passenger transport model is a strategic tool that tests the impacts of multiple policies and trends on the non-urban passenger sector. For freight volumes, the non-urban freight transport model is used to generate the data. The non-urban freight transport model assesses and provides scenario forecasts for freight flows around the globe. It is a network model that assigns freight flows of all major transport modes to specific routes, modes, and network links. The ITF Modelling Framework is available at The ITF Modelling Framework.</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7B6A35" w14:textId="2955C306" w:rsidR="00164718" w:rsidRPr="003257B9" w:rsidRDefault="003257B9" w:rsidP="00164718">
            <w:pPr>
              <w:pStyle w:val="MText"/>
              <w:rPr>
                <w:rFonts w:cstheme="minorHAnsi"/>
              </w:rPr>
            </w:pPr>
            <w:r>
              <w:t>Aviation: Coverage for aviation is for all ICAO 193 Member States. Maritime: Coverage for international maritime freight volumes at regional and sub-regional level. Road, Rail, Inland waterways: Coverage at regional and sub-regional level.</w:t>
            </w:r>
            <w:r w:rsidR="00164718">
              <w:rPr>
                <w:rFonts w:cstheme="minorHAnsi"/>
              </w:rPr>
              <w:t xml:space="preserve"> </w:t>
            </w:r>
          </w:p>
          <w:p w14:paraId="48EF8537" w14:textId="282C7ED7" w:rsidR="007F2D9F" w:rsidRPr="00164718" w:rsidRDefault="007F2D9F" w:rsidP="003257B9">
            <w:pPr>
              <w:pStyle w:val="MText"/>
              <w:jc w:val="both"/>
              <w:rPr>
                <w:rFonts w:cstheme="minorHAnsi"/>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CCAFD83" w:rsidR="007F2D9F" w:rsidRPr="003257B9" w:rsidRDefault="003257B9" w:rsidP="003257B9">
            <w:pPr>
              <w:pStyle w:val="MText"/>
              <w:rPr>
                <w:rFonts w:cstheme="minorHAnsi"/>
              </w:rPr>
            </w:pPr>
            <w:r>
              <w:t xml:space="preserve">Aviation The aviation passenger and freight volumes are reported for the air carriers through ICAO Air Transport Reporting Forms and grouped by Member States of ICAO. Road/Rail/Inland waterways Urban passenger transport model The model is designed as a systems dynamic model (stock and flow model) to evaluate the development of urban mobility in all cities over 50 000 inhabitants around the world. It combines data from various sources that form one of the most extensive databases on global city mobility to account for fifteen transport modes. These range from the conventional private car and public transport to new alternative modes such as shared mobility. Non-urban passenger transport model The model provides scenario forecasts for non-urban transport activity and its related CO2 emissions up to 2050. The model estimates activity between urban areas (intercity travel) and passenger activity happening locally in non-urban areas (intra-regional travel). The latter includes travel in peri-urban and rural areas. The model is developed to assess the impact of transport, economic and environmental policy measures (air liberalisation, carbon pricing, etc.), as well as the impact of technological developments and breakthroughs (electric aviation, autonomous vehicles, etc.). Non-urban freight transport model The most recent version of the ITF freight model integrates the (previously distinct) surface and international freight models. International and domestic freight flows are calibrated on data on national freight transport activity (in tonnes-kilometres, </w:t>
            </w:r>
            <w:proofErr w:type="spellStart"/>
            <w:r>
              <w:t>tkm</w:t>
            </w:r>
            <w:proofErr w:type="spellEnd"/>
            <w:r>
              <w:t xml:space="preserve">) as reported by ITF member countries. Reported data is also used to validate the route assignment of freight flows. Trade projections in value terms stem from the OECD trade model and converted into cargo weight (tonnes). These weight movements are then assigned to an intermodal freight network that develops over time in line with scenario settings. These define infrastructure availability, available services and related costs. The model uses 2015 as its baseline year and provides estimation values for 2015, 2019, 2020, 2022, and 2025, then with computations done in five-year intervals. Therefore, the data for 2021 is derived through interpolation of the simulated values for 2020 and 2022. The ITF Modelling Framework is available at The ITF Modelling Framework. Maritime: The indicator is calculated through a sum of international maritime freight volumes and container port traffic as collected by UNCTAD secretariat from websites and reports by various industry, government and specialised maritime transport data providers and consultancies. Data on international maritime freight excludes transhipments and domestic maritime freight volumes. Cargo flows originating in or destined to landlocked countries are attributed to the ports of neighbouring coastal transit countries. The mode of transport “maritime” is assigned to an international trade transaction when the goods arrived at the country’s external border (the seaport) transported by ship. Data on container port traffic include full and empty containers as well as transhipment traffic. Data is collected and compiled from various websites and reports, including, by port and industry associations and authorities, national statistics offices, UN Monthly Bulletin of Statistics, governments, Last updated: 2023-09-12 specialised agencies such as the International Energy Agency (IEA), the US Energy Information Administration (EIA), the Organization of the Petroleum Exporting Countries (OPEC), and British Petroleum (BP). Data is also collected from reports issued by maritime specialised sources such as Drewry Maritime Research (DMR), </w:t>
            </w:r>
            <w:proofErr w:type="spellStart"/>
            <w:r>
              <w:t>Clarksons</w:t>
            </w:r>
            <w:proofErr w:type="spellEnd"/>
            <w:r>
              <w:t xml:space="preserve"> Research Services (CRS), </w:t>
            </w:r>
            <w:proofErr w:type="spellStart"/>
            <w:r>
              <w:t>Dynamar</w:t>
            </w:r>
            <w:proofErr w:type="spellEnd"/>
            <w:r>
              <w:t>, and Lloyd’s List Intelligence (LLI).</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0CE0C0" w14:textId="77777777" w:rsidR="003257B9" w:rsidRDefault="003257B9" w:rsidP="003257B9">
            <w:pPr>
              <w:jc w:val="both"/>
            </w:pPr>
            <w:r>
              <w:t xml:space="preserve">Aviation: ICAO Statistics </w:t>
            </w:r>
            <w:proofErr w:type="spellStart"/>
            <w:r>
              <w:t>Programme</w:t>
            </w:r>
            <w:proofErr w:type="spellEnd"/>
            <w:r>
              <w:t xml:space="preserve"> has put in place a series of robust data quality control functions to automate all the necessary calculations and producing a report for each reporting form. These quality control processes were divided into two main activities: verification and validation. Maritime: UNCTAD secretariat monitors, collects, and compiles the data at the country level as well as at regional/sub-regional level. It continuously updates the data as new data and information becomes available. Some commercial providers of maritime statistics publish global data that is derived, for example, from shipping contracts, and UNCTAD compares its own data with those published by commercial providers. Road/Rail/Inland waterways: There is no compilation of data submitted from the countries. Data comes from the ITF Global Models. ITF (forthcoming), ITF Transport Outlook 2023, OECD Publishing, Paris. </w:t>
            </w:r>
          </w:p>
          <w:p w14:paraId="59A9A85C" w14:textId="7ACA9D26" w:rsidR="007F2D9F" w:rsidRPr="009F305C" w:rsidRDefault="003257B9" w:rsidP="003257B9">
            <w:pPr>
              <w:pStyle w:val="MText"/>
              <w:jc w:val="both"/>
            </w:pPr>
            <w:r>
              <w:t xml:space="preserve">For Kenya case </w:t>
            </w:r>
            <w:r>
              <w:rPr>
                <w:rFonts w:ascii="Calibri" w:hAnsi="Calibri" w:cs="Calibri"/>
                <w:color w:val="000000"/>
              </w:rPr>
              <w:t>Statistics produced undergoes a rigorous process of peer review from stakeholders through set Technical Working Groups(TWG) every quarter.</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8D9B8EA" w:rsidR="007F2D9F" w:rsidRPr="009F305C" w:rsidRDefault="003257B9" w:rsidP="00235F06">
            <w:pPr>
              <w:pStyle w:val="MText"/>
            </w:pPr>
            <w:r>
              <w:t>Road, rail, inland waterways: In order to provide a worldwide regional coverage, data from the ITF transport models are used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180C636" w14:textId="77777777" w:rsidR="003257B9" w:rsidRDefault="003257B9" w:rsidP="003257B9">
            <w:r>
              <w:t>At country level Aviation data are broadly complete. For inland transport statistics: In case of missing data for a country for which at least one data point is available since 2000, we calculate estimates based on the expected growth rate for the country. The growth rates are computed from other socio-economic variables, such as Gross Domestic Product (GDP), population or urbanization.</w:t>
            </w:r>
          </w:p>
          <w:p w14:paraId="2440F75C" w14:textId="77777777" w:rsidR="003257B9" w:rsidRDefault="003257B9" w:rsidP="003257B9"/>
          <w:p w14:paraId="6B5E53EB" w14:textId="77777777" w:rsidR="003257B9" w:rsidRDefault="003257B9" w:rsidP="003257B9">
            <w:r>
              <w:t xml:space="preserve"> For road, rail, and inland waterways: Not applicable </w:t>
            </w:r>
          </w:p>
          <w:p w14:paraId="55C0FDEF" w14:textId="471CB60F" w:rsidR="007F2D9F" w:rsidRPr="009F305C" w:rsidRDefault="007807A2" w:rsidP="007807A2">
            <w:pPr>
              <w:pStyle w:val="MText"/>
              <w:jc w:val="both"/>
            </w:pPr>
            <w:r w:rsidRPr="00176F65">
              <w:t xml:space="preserve"> </w:t>
            </w:r>
            <w:r w:rsidR="003257B9">
              <w:t>Maritime: International maritime freight: In case of missing data for a country or a sub-region for which a data point is available since 2006, UNCTAD makes an estimate based on the expected growth rate of the volume of merchandise trade. If not available, use is made of the latest year for which data was available. Last updated: 2023-09-12 Container port traffic: In case of missing data, UNCTAD makes an estimate by extrapolating from the liner shipping connectivity and ship capacity deployment data, which has shown to be highly correlated with container port traffic. Container ship deployment data are available for all container ships of the world, which thus allows for estimates on container port traffic to be generated even if no national data is available. In other cases, UNCTAD makes an estimate based on the expected growth rate of the volume of merchandise trade</w:t>
            </w:r>
            <w:r w:rsidRPr="00176F65">
              <w:t>.</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242E4C4" w:rsidR="007F2D9F" w:rsidRPr="009F305C" w:rsidRDefault="003257B9" w:rsidP="007807A2">
            <w:pPr>
              <w:pStyle w:val="MText"/>
              <w:jc w:val="both"/>
            </w:pPr>
            <w:r>
              <w:t>Aggregation by region based on UN classification of country groupings, including by geography and development status. Road/Rail/Inland waterways: The model estimations are at a country level but the analysis is only possible at the regional groupings using simple summation from country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0B92FD0" w14:textId="77777777" w:rsidR="003257B9" w:rsidRDefault="003257B9" w:rsidP="003257B9">
            <w:r>
              <w:t xml:space="preserve">Aviation: States refer to the ICAO Reference Manual on the Statistics </w:t>
            </w:r>
            <w:proofErr w:type="spellStart"/>
            <w:r>
              <w:t>Programme</w:t>
            </w:r>
            <w:proofErr w:type="spellEnd"/>
            <w:r>
              <w:t xml:space="preserve"> (Doc 9060) to compile and file traffic reports at a national level. Road/Rail/Inland waterways ITF only provides model results to be public at the regional level. </w:t>
            </w:r>
          </w:p>
          <w:p w14:paraId="0232E6B5" w14:textId="1B6C23B8" w:rsidR="007F2D9F" w:rsidRPr="009F305C" w:rsidRDefault="003257B9" w:rsidP="003257B9">
            <w:pPr>
              <w:pStyle w:val="MText"/>
            </w:pPr>
            <w:r>
              <w:t>Maritime: Countries do not systematically collect or report data on international maritime freight and container port traffic. UNCTAD relies on data published by industry and information published by specialized sources.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EAF0BBD" w:rsidR="007F2D9F" w:rsidRPr="009F305C" w:rsidRDefault="003257B9" w:rsidP="00164718">
            <w:pPr>
              <w:pStyle w:val="NormalWeb"/>
            </w:pPr>
            <w:r w:rsidRPr="003257B9">
              <w:rPr>
                <w:rFonts w:asciiTheme="minorHAnsi" w:hAnsiTheme="minorHAnsi"/>
                <w:color w:val="4A4A4A"/>
                <w:sz w:val="21"/>
                <w:szCs w:val="21"/>
                <w:lang w:val="en-GB" w:eastAsia="en-GB"/>
              </w:rP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25ADD02" w14:textId="77777777" w:rsidR="003257B9" w:rsidRDefault="003257B9" w:rsidP="003257B9">
            <w:pPr>
              <w:jc w:val="both"/>
            </w:pPr>
            <w:r>
              <w:t>Framework (</w:t>
            </w:r>
            <w:proofErr w:type="spellStart"/>
            <w:r>
              <w:t>KesQAF</w:t>
            </w:r>
            <w:proofErr w:type="spellEnd"/>
            <w:r>
              <w:t xml:space="preserve">) that underlines principles to be assured in managing the statistical production processes and output.  </w:t>
            </w:r>
          </w:p>
          <w:p w14:paraId="49CC4A3F" w14:textId="72DD368B" w:rsidR="007F2D9F" w:rsidRPr="009F305C" w:rsidRDefault="003257B9" w:rsidP="003257B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6C3E2A" w:rsidR="007F2D9F" w:rsidRPr="009F305C" w:rsidRDefault="004D3DDB" w:rsidP="009F305C">
            <w:r>
              <w:rPr>
                <w:rFonts w:ascii="Calibri" w:hAnsi="Calibri" w:cs="Calibri"/>
                <w:color w:val="000000"/>
              </w:rPr>
              <w:t>The Bureau has a quality management system in place that ensures that data produced meets the set standards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033E82" w14:textId="77777777" w:rsidR="004D3DDB" w:rsidRPr="004E5EB9" w:rsidRDefault="004D3DDB" w:rsidP="004D3DDB">
            <w:pPr>
              <w:pStyle w:val="MText"/>
              <w:jc w:val="both"/>
              <w:rPr>
                <w:b/>
              </w:rPr>
            </w:pPr>
            <w:r w:rsidRPr="004E5EB9">
              <w:rPr>
                <w:b/>
              </w:rPr>
              <w:t>Data availability:</w:t>
            </w:r>
          </w:p>
          <w:p w14:paraId="7E81B500" w14:textId="4C55122C" w:rsidR="004D3DDB" w:rsidRDefault="004D3DDB" w:rsidP="004D3DDB">
            <w:pPr>
              <w:pStyle w:val="MText"/>
              <w:jc w:val="both"/>
              <w:rPr>
                <w:highlight w:val="cyan"/>
              </w:rPr>
            </w:pPr>
            <w:r w:rsidRPr="00176F65">
              <w:t xml:space="preserve">- </w:t>
            </w:r>
            <w:r w:rsidR="003257B9" w:rsidRPr="003257B9">
              <w:rPr>
                <w:lang w:val="en-US"/>
              </w:rPr>
              <w:t>The data is available on KNBS website and upon request</w:t>
            </w:r>
          </w:p>
          <w:p w14:paraId="5109AE8B" w14:textId="77777777" w:rsidR="004D3DDB" w:rsidRPr="004E5EB9" w:rsidRDefault="004D3DDB" w:rsidP="004D3DDB">
            <w:pPr>
              <w:pStyle w:val="MText"/>
              <w:jc w:val="both"/>
              <w:rPr>
                <w:b/>
              </w:rPr>
            </w:pPr>
            <w:r w:rsidRPr="004E5EB9">
              <w:rPr>
                <w:b/>
              </w:rPr>
              <w:t>Disaggregation:</w:t>
            </w:r>
          </w:p>
          <w:p w14:paraId="39185D77" w14:textId="6D1ECDD8" w:rsidR="00776312" w:rsidRPr="004D3DDB" w:rsidRDefault="003257B9" w:rsidP="003257B9">
            <w:pPr>
              <w:pStyle w:val="MText"/>
              <w:rPr>
                <w:rFonts w:cstheme="minorHAnsi"/>
              </w:rPr>
            </w:pPr>
            <w:r>
              <w:rPr>
                <w:noProof/>
              </w:rPr>
              <w:t xml:space="preserve">All Indicators are disaggregated to the smallest possible units as per the International manuals. </w:t>
            </w:r>
            <w:r w:rsidR="004D3DDB">
              <w:rPr>
                <w:noProof/>
                <w:lang w:val="en-US" w:eastAsia="en-US"/>
              </w:rPr>
              <w:t xml:space="preserve"> </w:t>
            </w:r>
            <w:r w:rsidR="004D3DDB" w:rsidRPr="00176F65">
              <w:rPr>
                <w:rFonts w:cstheme="minorHAnsi"/>
              </w:rPr>
              <w:br/>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749DC3F5" w:rsidR="004D3DDB" w:rsidRPr="003257B9" w:rsidRDefault="003257B9" w:rsidP="004D3DDB">
            <w:pPr>
              <w:pStyle w:val="MText"/>
              <w:rPr>
                <w:bCs/>
              </w:rPr>
            </w:pPr>
            <w:r w:rsidRPr="003257B9">
              <w:rPr>
                <w:bCs/>
              </w:rPr>
              <w:t>NA</w:t>
            </w:r>
          </w:p>
          <w:p w14:paraId="7104584D" w14:textId="51CBDAAB" w:rsidR="006A7EF1" w:rsidRPr="009F305C" w:rsidRDefault="006A7EF1" w:rsidP="004D3DDB">
            <w:pPr>
              <w:pStyle w:val="MText"/>
            </w:p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FFE0221" w14:textId="537BD66E" w:rsidR="006F104C" w:rsidRDefault="00276F2E" w:rsidP="00892669">
            <w:pPr>
              <w:pStyle w:val="MText"/>
            </w:pPr>
            <w:hyperlink r:id="rId21" w:history="1">
              <w:r w:rsidR="003257B9" w:rsidRPr="004E4AD7">
                <w:rPr>
                  <w:rStyle w:val="Hyperlink"/>
                </w:rPr>
                <w:t>https://www.knbs.or.ke/publications/</w:t>
              </w:r>
            </w:hyperlink>
          </w:p>
          <w:p w14:paraId="127FB56F" w14:textId="24FAB899" w:rsidR="003257B9" w:rsidRPr="009F305C" w:rsidRDefault="003257B9" w:rsidP="00892669">
            <w:pPr>
              <w:pStyle w:val="MText"/>
            </w:pPr>
            <w:r w:rsidRPr="003257B9">
              <w:t>https://ec.europa.eu/eurostat/documents/3859598/10013293/KS-GQ-19-004-EN-N.pdf/b89e58d3-72ca-49e0-a353-b4ea0dc8988f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F66CD" w:rsidRDefault="008F66CD" w:rsidP="006B0512">
      <w:pPr>
        <w:spacing w:after="0" w:line="240" w:lineRule="auto"/>
      </w:pPr>
      <w:r>
        <w:separator/>
      </w:r>
    </w:p>
  </w:endnote>
  <w:endnote w:type="continuationSeparator" w:id="0">
    <w:p w14:paraId="0652DDFD" w14:textId="77777777" w:rsidR="008F66CD" w:rsidRDefault="008F66C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0FB1CF5" w:rsidR="008F66CD" w:rsidRDefault="008F66CD">
        <w:pPr>
          <w:pStyle w:val="Footer"/>
          <w:jc w:val="right"/>
        </w:pPr>
        <w:r>
          <w:fldChar w:fldCharType="begin"/>
        </w:r>
        <w:r>
          <w:instrText xml:space="preserve"> PAGE   \* MERGEFORMAT </w:instrText>
        </w:r>
        <w:r>
          <w:fldChar w:fldCharType="separate"/>
        </w:r>
        <w:r w:rsidR="00276F2E">
          <w:rPr>
            <w:noProof/>
          </w:rPr>
          <w:t>17</w:t>
        </w:r>
        <w:r>
          <w:rPr>
            <w:noProof/>
          </w:rPr>
          <w:fldChar w:fldCharType="end"/>
        </w:r>
      </w:p>
    </w:sdtContent>
  </w:sdt>
  <w:p w14:paraId="232AF3D4" w14:textId="77777777" w:rsidR="008F66CD" w:rsidRDefault="008F66C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EBA0BD0" w:rsidR="008F66CD" w:rsidRDefault="008F66CD">
        <w:pPr>
          <w:pStyle w:val="Footer"/>
          <w:jc w:val="right"/>
        </w:pPr>
        <w:r>
          <w:fldChar w:fldCharType="begin"/>
        </w:r>
        <w:r>
          <w:instrText xml:space="preserve"> PAGE   \* MERGEFORMAT </w:instrText>
        </w:r>
        <w:r>
          <w:fldChar w:fldCharType="separate"/>
        </w:r>
        <w:r w:rsidR="00276F2E">
          <w:rPr>
            <w:noProof/>
          </w:rPr>
          <w:t>1</w:t>
        </w:r>
        <w:r>
          <w:rPr>
            <w:noProof/>
          </w:rPr>
          <w:fldChar w:fldCharType="end"/>
        </w:r>
      </w:p>
    </w:sdtContent>
  </w:sdt>
  <w:p w14:paraId="52FF1B3E" w14:textId="77777777" w:rsidR="008F66CD" w:rsidRDefault="008F66C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F66CD" w:rsidRDefault="008F66CD" w:rsidP="006B0512">
      <w:pPr>
        <w:spacing w:after="0" w:line="240" w:lineRule="auto"/>
      </w:pPr>
      <w:r>
        <w:separator/>
      </w:r>
    </w:p>
  </w:footnote>
  <w:footnote w:type="continuationSeparator" w:id="0">
    <w:p w14:paraId="21AE062F" w14:textId="77777777" w:rsidR="008F66CD" w:rsidRDefault="008F66CD" w:rsidP="006B0512">
      <w:pPr>
        <w:spacing w:after="0" w:line="240" w:lineRule="auto"/>
      </w:pPr>
      <w:r>
        <w:continuationSeparator/>
      </w:r>
    </w:p>
  </w:footnote>
  <w:footnote w:id="1">
    <w:p w14:paraId="463C7A6C" w14:textId="3926C0D8" w:rsidR="008F66CD" w:rsidRPr="00B8102F" w:rsidRDefault="008F66C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C4A"/>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64718"/>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06"/>
    <w:rsid w:val="00235F8D"/>
    <w:rsid w:val="002525CC"/>
    <w:rsid w:val="002607BA"/>
    <w:rsid w:val="00266557"/>
    <w:rsid w:val="00276F2E"/>
    <w:rsid w:val="002806B7"/>
    <w:rsid w:val="002841F0"/>
    <w:rsid w:val="0029558C"/>
    <w:rsid w:val="002A631A"/>
    <w:rsid w:val="002A6E7E"/>
    <w:rsid w:val="002A7797"/>
    <w:rsid w:val="002C065D"/>
    <w:rsid w:val="002C550A"/>
    <w:rsid w:val="002E449E"/>
    <w:rsid w:val="002E6DA3"/>
    <w:rsid w:val="00316CFE"/>
    <w:rsid w:val="003218D9"/>
    <w:rsid w:val="003257B9"/>
    <w:rsid w:val="00325D2B"/>
    <w:rsid w:val="00335A69"/>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3498D"/>
    <w:rsid w:val="00851DF8"/>
    <w:rsid w:val="008521A2"/>
    <w:rsid w:val="00870FE4"/>
    <w:rsid w:val="00892669"/>
    <w:rsid w:val="008A7300"/>
    <w:rsid w:val="008C141D"/>
    <w:rsid w:val="008D775E"/>
    <w:rsid w:val="008E09AA"/>
    <w:rsid w:val="008E4413"/>
    <w:rsid w:val="008E4D2D"/>
    <w:rsid w:val="008E6037"/>
    <w:rsid w:val="008F0F40"/>
    <w:rsid w:val="008F66CD"/>
    <w:rsid w:val="00911199"/>
    <w:rsid w:val="009165F2"/>
    <w:rsid w:val="00936426"/>
    <w:rsid w:val="009367AA"/>
    <w:rsid w:val="00943E08"/>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3B68"/>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6E86"/>
    <w:rsid w:val="00AE7A74"/>
    <w:rsid w:val="00AF2FE1"/>
    <w:rsid w:val="00AF6282"/>
    <w:rsid w:val="00B137EE"/>
    <w:rsid w:val="00B13CEC"/>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613DE"/>
    <w:rsid w:val="00C94E79"/>
    <w:rsid w:val="00CA6252"/>
    <w:rsid w:val="00CA6D8F"/>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1827"/>
    <w:rsid w:val="00D815D9"/>
    <w:rsid w:val="00D855E8"/>
    <w:rsid w:val="00D91738"/>
    <w:rsid w:val="00DA69E7"/>
    <w:rsid w:val="00DB1DCD"/>
    <w:rsid w:val="00DC1B47"/>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18CC"/>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UnresolvedMention">
    <w:name w:val="Unresolved Mention"/>
    <w:basedOn w:val="DefaultParagraphFont"/>
    <w:uiPriority w:val="99"/>
    <w:semiHidden/>
    <w:unhideWhenUsed/>
    <w:rsid w:val="003257B9"/>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publica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BDB9DB25D14148B7A93DCC02B5767D0B"/>
        <w:category>
          <w:name w:val="General"/>
          <w:gallery w:val="placeholder"/>
        </w:category>
        <w:types>
          <w:type w:val="bbPlcHdr"/>
        </w:types>
        <w:behaviors>
          <w:behavior w:val="content"/>
        </w:behaviors>
        <w:guid w:val="{3E3BB4FE-D927-422B-89E1-37EF71446362}"/>
      </w:docPartPr>
      <w:docPartBody>
        <w:p w:rsidR="00F014D3" w:rsidRDefault="00F014D3" w:rsidP="00F014D3">
          <w:pPr>
            <w:pStyle w:val="BDB9DB25D14148B7A93DCC02B5767D0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A24E2"/>
    <w:rsid w:val="006153AA"/>
    <w:rsid w:val="0064052E"/>
    <w:rsid w:val="00760A1F"/>
    <w:rsid w:val="00A11C08"/>
    <w:rsid w:val="00DA061B"/>
    <w:rsid w:val="00E4246B"/>
    <w:rsid w:val="00E95E77"/>
    <w:rsid w:val="00F014D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014D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BDB9DB25D14148B7A93DCC02B5767D0B">
    <w:name w:val="BDB9DB25D14148B7A93DCC02B5767D0B"/>
    <w:rsid w:val="00F014D3"/>
    <w:pPr>
      <w:spacing w:line="278" w:lineRule="auto"/>
    </w:pPr>
    <w:rPr>
      <w:kern w:val="2"/>
      <w:sz w:val="24"/>
      <w:szCs w:val="24"/>
      <w:lang/>
      <w14:ligatures w14:val="standardContextual"/>
    </w:rPr>
  </w:style>
  <w:style w:type="paragraph" w:customStyle="1" w:styleId="B793239397BD4BC78BCFB34955308E04">
    <w:name w:val="B793239397BD4BC78BCFB34955308E04"/>
    <w:rsid w:val="00F014D3"/>
    <w:pPr>
      <w:spacing w:line="278" w:lineRule="auto"/>
    </w:pPr>
    <w:rPr>
      <w:kern w:val="2"/>
      <w:sz w:val="24"/>
      <w:szCs w:val="24"/>
      <w:lang/>
      <w14:ligatures w14:val="standardContextual"/>
    </w:rPr>
  </w:style>
  <w:style w:type="paragraph" w:customStyle="1" w:styleId="2CFD295A4A5E41D0A8B68FB8DCBC26D9">
    <w:name w:val="2CFD295A4A5E41D0A8B68FB8DCBC26D9"/>
    <w:rsid w:val="00F014D3"/>
    <w:pPr>
      <w:spacing w:line="278" w:lineRule="auto"/>
    </w:pPr>
    <w:rPr>
      <w:kern w:val="2"/>
      <w:sz w:val="24"/>
      <w:szCs w:val="24"/>
      <w:lang/>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www.w3.org/XML/1998/namespace"/>
    <ds:schemaRef ds:uri="http://purl.org/dc/dcmitype/"/>
    <ds:schemaRef ds:uri="http://schemas.microsoft.com/office/2006/metadata/properties"/>
    <ds:schemaRef ds:uri="http://schemas.openxmlformats.org/package/2006/metadata/core-properties"/>
    <ds:schemaRef ds:uri="http://schemas.microsoft.com/office/2006/documentManagement/types"/>
    <ds:schemaRef ds:uri="http://purl.org/dc/elements/1.1/"/>
    <ds:schemaRef ds:uri="http://schemas.microsoft.com/office/infopath/2007/PartnerControls"/>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66FECF3-380F-4118-9F96-9D6521400E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17</Pages>
  <Words>218064</Words>
  <Characters>1242967</Characters>
  <Application>Microsoft Office Word</Application>
  <DocSecurity>8</DocSecurity>
  <Lines>10358</Lines>
  <Paragraphs>2916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1458115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2024-05-10T06:25:00Z</dcterms:created>
  <dcterms:modified xsi:type="dcterms:W3CDTF">2024-05-10T08:29:00Z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