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64DD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64DD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64DD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64DD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64DD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64DD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64DD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64DD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64DD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64DD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64DD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64DD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64DD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02F172FC" w:rsidR="00355460" w:rsidRPr="00E263EC" w:rsidRDefault="001B739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7EACEB2" w:rsidR="00B66AF3" w:rsidRDefault="001B7395" w:rsidP="00B66AF3">
          <w:r>
            <w:t>3.7.2 Adolescent birth rate (per 1,000 women aged 15-19 years) [3.7.2] (SP_DYN_ADKL)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02B3E35E"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3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65pt;height:24.3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8870EEF" w:rsidR="0077584C" w:rsidRDefault="001B739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1F293CF5" w:rsidR="00F7784D" w:rsidRDefault="001B739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2DECEFB" w:rsidR="00F54570" w:rsidRDefault="00F54570" w:rsidP="00355460">
      <w:r>
        <w:object w:dxaOrig="0" w:dyaOrig="0" w14:anchorId="196EDF24">
          <v:shape id="_x0000_i1037" type="#_x0000_t75" style="width:140.25pt;height:24.3pt" o:ole="">
            <v:imagedata r:id="rId17" o:title=""/>
          </v:shape>
          <w:control r:id="rId18" w:name="ImportSdmxDsd" w:shapeid="_x0000_i1037"/>
        </w:object>
      </w:r>
      <w:r w:rsidR="003E117E">
        <w:t xml:space="preserve">             </w:t>
      </w:r>
      <w:r w:rsidR="003E117E">
        <w:object w:dxaOrig="0" w:dyaOrig="0" w14:anchorId="3CF05049">
          <v:shape id="_x0000_i1039" type="#_x0000_t75" style="width:200.1pt;height:24.3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1E7554" w:rsidR="005377B9" w:rsidRPr="009F305C" w:rsidRDefault="001B7395" w:rsidP="009F305C">
            <w: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0D84ACF" w:rsidR="005377B9" w:rsidRPr="009F305C" w:rsidRDefault="001B7395" w:rsidP="009F305C">
            <w:r>
              <w:t xml:space="preserve">Target 3.7: By 2030, ensure universal access to sexual and reproductive health-care services, including for family planning, information and education, and the integration of reproductive health into national strategies and </w:t>
            </w:r>
            <w:proofErr w:type="spellStart"/>
            <w:r>
              <w:t>programmes</w:t>
            </w:r>
            <w:proofErr w:type="spellEnd"/>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57D6A29" w:rsidR="005377B9" w:rsidRPr="009F305C" w:rsidRDefault="001B7395" w:rsidP="009F305C">
            <w:r>
              <w:t>Indicator 3.7.2: Adolescent birth rate (aged 10–14 years; aged 15–19 years) per 1,000 women in that age group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6DFBCB5" w:rsidR="005377B9" w:rsidRPr="009F305C" w:rsidRDefault="001B7395"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1F8E4E6" w:rsidR="005377B9" w:rsidRPr="009F305C" w:rsidRDefault="001B7395" w:rsidP="009F305C">
            <w:r>
              <w:t>Indicator is linked to 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 because reductions in adolescent childbearing that are brought about by increasing access to sexual and reproductive health-care services are also reflective of improvements in sexual and reproductive health and the exercise of reproductive rights per se. This indicator is linked to Target 17.19 (By 2030 build on existing initiatives to develop measurements of progress on sustainable development that complement gross domestic product and support statistical capacity-building in developing countries) because the estimates of the adolescent birth rate are based in part on birth registration and census data. Strengthened civil registration and vital statistics systems reaching universal coverage of birth registration and conducting at least one census every 10 years are directly relevant for measuring progress on target 3.7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2170BE9" w:rsidR="005377B9" w:rsidRPr="009F305C" w:rsidRDefault="001B7395" w:rsidP="009F305C">
            <w:r w:rsidRPr="007A3771">
              <w:t>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B37FE55" w:rsidR="003E7389" w:rsidRPr="009F305C" w:rsidRDefault="001B7395" w:rsidP="009F305C">
            <w:r w:rsidRPr="00182857">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462FE43" w:rsidR="003E7389" w:rsidRPr="009F305C" w:rsidRDefault="001B7395" w:rsidP="009F305C">
            <w:r w:rsidRPr="00182857">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AE62478" w:rsidR="003E7389" w:rsidRPr="009F305C" w:rsidRDefault="001B7395" w:rsidP="009F305C">
            <w:r w:rsidRPr="00182857">
              <w:t xml:space="preserve">Director, Population </w:t>
            </w:r>
            <w:r w:rsidR="00E50A13">
              <w:t xml:space="preserve">and Social </w:t>
            </w:r>
            <w:bookmarkStart w:id="13" w:name="_GoBack"/>
            <w:bookmarkEnd w:id="13"/>
            <w:r w:rsidRPr="00182857">
              <w:t>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550A6727" w:rsidR="003E7389" w:rsidRPr="009F305C" w:rsidRDefault="001B7395" w:rsidP="009F305C">
            <w:r w:rsidRPr="00182857">
              <w:t>Directorate of Population</w:t>
            </w:r>
            <w:r w:rsidR="00E50A13">
              <w:t xml:space="preserve"> and Social</w:t>
            </w:r>
            <w:r w:rsidRPr="00182857">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7651922" w:rsidR="003E7389" w:rsidRPr="009F305C" w:rsidRDefault="001B7395" w:rsidP="009F305C">
            <w:r>
              <w:t>Compiling population and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1DADFE4" w:rsidR="003E7389" w:rsidRPr="009F305C" w:rsidRDefault="001B7395" w:rsidP="009F305C">
            <w:r>
              <w:t>+254 780836503</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7EE9F0" w:rsidR="003E7389" w:rsidRPr="009F305C" w:rsidRDefault="001B7395" w:rsidP="009F305C">
            <w:r w:rsidRPr="007F03A3">
              <w:t>P</w:t>
            </w:r>
            <w:r>
              <w:t>.O. Box 302</w:t>
            </w:r>
            <w:r w:rsidRPr="00F15DF2">
              <w:t>66,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63A5328D" w14:textId="75204AA1" w:rsidR="003E7389" w:rsidRPr="009F305C" w:rsidRDefault="001B7395" w:rsidP="009F305C">
            <w:hyperlink r:id="rId21" w:history="1">
              <w:r w:rsidRPr="00F45649">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268D343" w14:textId="77777777" w:rsidR="00964DD0" w:rsidRDefault="00964DD0" w:rsidP="00964DD0">
            <w:pPr>
              <w:spacing w:after="0" w:line="240" w:lineRule="auto"/>
              <w:rPr>
                <w:rFonts w:ascii="Times New Roman" w:eastAsia="Times New Roman" w:hAnsi="Times New Roman" w:cs="Times New Roman"/>
                <w:sz w:val="20"/>
                <w:szCs w:val="20"/>
                <w:vertAlign w:val="superscript"/>
                <w:lang w:val="en-GB"/>
              </w:rPr>
            </w:pPr>
            <w:r w:rsidRPr="00230587">
              <w:rPr>
                <w:rFonts w:ascii="Times New Roman" w:eastAsia="Times New Roman" w:hAnsi="Times New Roman" w:cs="Times New Roman"/>
                <w:b/>
                <w:sz w:val="24"/>
                <w:szCs w:val="24"/>
                <w:lang w:val="en-GB"/>
              </w:rPr>
              <w:t>Definition:</w:t>
            </w:r>
            <w:r w:rsidRPr="00230587">
              <w:rPr>
                <w:rFonts w:ascii="Times New Roman" w:eastAsia="Times New Roman" w:hAnsi="Times New Roman" w:cs="Times New Roman"/>
                <w:sz w:val="20"/>
                <w:szCs w:val="20"/>
                <w:vertAlign w:val="superscript"/>
                <w:lang w:val="en-GB"/>
              </w:rPr>
              <w:t xml:space="preserve"> </w:t>
            </w:r>
          </w:p>
          <w:p w14:paraId="7A7D88A1" w14:textId="77777777" w:rsidR="00964DD0" w:rsidRDefault="00964DD0" w:rsidP="00964DD0">
            <w:pPr>
              <w:spacing w:after="0" w:line="240" w:lineRule="auto"/>
              <w:rPr>
                <w:rFonts w:ascii="Times New Roman" w:eastAsia="Times New Roman" w:hAnsi="Times New Roman" w:cs="Times New Roman"/>
                <w:sz w:val="20"/>
                <w:szCs w:val="20"/>
                <w:lang w:val="en-GB"/>
              </w:rPr>
            </w:pPr>
            <w:r>
              <w:t>Annual number of births to females aged 10-14 or 15-19 years per 1,000 females in the respective age group.</w:t>
            </w:r>
            <w:r w:rsidRPr="00230587">
              <w:rPr>
                <w:rFonts w:ascii="Times New Roman" w:eastAsia="Times New Roman" w:hAnsi="Times New Roman" w:cs="Times New Roman"/>
                <w:sz w:val="20"/>
                <w:szCs w:val="20"/>
                <w:lang w:val="en-GB"/>
              </w:rPr>
              <w:t xml:space="preserve"> </w:t>
            </w:r>
          </w:p>
          <w:p w14:paraId="3CEF79C8" w14:textId="77777777" w:rsidR="00964DD0" w:rsidRDefault="00964DD0" w:rsidP="00964DD0">
            <w:pPr>
              <w:spacing w:after="0" w:line="240" w:lineRule="auto"/>
              <w:rPr>
                <w:rFonts w:ascii="Times New Roman" w:eastAsia="Times New Roman" w:hAnsi="Times New Roman" w:cs="Times New Roman"/>
                <w:sz w:val="20"/>
                <w:szCs w:val="20"/>
                <w:lang w:val="en-GB"/>
              </w:rPr>
            </w:pPr>
          </w:p>
          <w:p w14:paraId="6C84E827" w14:textId="4A1FB9B5" w:rsidR="0015178E" w:rsidRPr="009F305C" w:rsidRDefault="00964DD0" w:rsidP="00964DD0">
            <w:r w:rsidRPr="00230587">
              <w:rPr>
                <w:rFonts w:ascii="Times New Roman" w:eastAsia="Times New Roman" w:hAnsi="Times New Roman" w:cs="Times New Roman"/>
                <w:b/>
                <w:sz w:val="24"/>
                <w:szCs w:val="24"/>
                <w:lang w:val="en-GB"/>
              </w:rPr>
              <w:t>Concepts:</w:t>
            </w:r>
            <w:r w:rsidRPr="00230587">
              <w:rPr>
                <w:rFonts w:ascii="Times New Roman" w:eastAsia="Times New Roman" w:hAnsi="Times New Roman" w:cs="Times New Roman"/>
                <w:sz w:val="20"/>
                <w:szCs w:val="20"/>
                <w:lang w:val="en-GB"/>
              </w:rPr>
              <w:t xml:space="preserve"> </w:t>
            </w:r>
            <w:r>
              <w:t>The adolescent birth rate represents the level of childbearing among females in the particular age group. The adolescent birth rate among women aged 15-19 years is also referred to as the age-specific fertility rate for women aged 15-19.</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3F928BE" w:rsidR="0015178E" w:rsidRPr="009F305C" w:rsidRDefault="00964DD0" w:rsidP="009F305C">
            <w:r>
              <w:t>Annual number of births to females aged 10-14 or 15-19 years per 1,000 females in the respective age group.</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07F4535F" w:rsidR="0035311B" w:rsidRPr="009F305C" w:rsidRDefault="00E20A81" w:rsidP="009F305C">
            <w:r>
              <w:t>Household based and administrative</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79251FE" w14:textId="77777777" w:rsidR="00964DD0" w:rsidRDefault="00964DD0" w:rsidP="00964DD0">
            <w:pPr>
              <w:spacing w:after="0" w:line="240" w:lineRule="auto"/>
            </w:pPr>
            <w:r>
              <w:t xml:space="preserve">2014: KDHS </w:t>
            </w:r>
          </w:p>
          <w:p w14:paraId="53606ABE" w14:textId="77777777" w:rsidR="00964DD0" w:rsidRDefault="00964DD0" w:rsidP="00964DD0">
            <w:pPr>
              <w:spacing w:after="0" w:line="240" w:lineRule="auto"/>
            </w:pPr>
            <w:r>
              <w:t>2022: KDHS</w:t>
            </w:r>
          </w:p>
          <w:p w14:paraId="571CD33E" w14:textId="34EBE353" w:rsidR="0035311B" w:rsidRPr="009F305C" w:rsidRDefault="00964DD0" w:rsidP="00964DD0">
            <w:r w:rsidRPr="00572038">
              <w:rPr>
                <w:highlight w:val="yellow"/>
              </w:rPr>
              <w:t>The Annual Economic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72B5920" w14:textId="77777777" w:rsidR="00964DD0" w:rsidRDefault="00964DD0" w:rsidP="00964DD0">
            <w:pPr>
              <w:spacing w:after="0" w:line="240" w:lineRule="auto"/>
            </w:pPr>
            <w:r>
              <w:t>Data is collected through the KDHS survey. Enumeration</w:t>
            </w:r>
          </w:p>
          <w:p w14:paraId="2506D813" w14:textId="77777777" w:rsidR="00964DD0" w:rsidRDefault="00964DD0" w:rsidP="00964DD0">
            <w:pPr>
              <w:spacing w:after="0" w:line="240" w:lineRule="auto"/>
            </w:pPr>
            <w:r>
              <w:t>areas are randomly selected using the sampling frame</w:t>
            </w:r>
          </w:p>
          <w:p w14:paraId="129C1444" w14:textId="77777777" w:rsidR="00964DD0" w:rsidRDefault="00964DD0" w:rsidP="00964DD0">
            <w:pPr>
              <w:spacing w:after="0" w:line="240" w:lineRule="auto"/>
            </w:pPr>
            <w:r>
              <w:t>created from the Kenya Population and Housing Census</w:t>
            </w:r>
          </w:p>
          <w:p w14:paraId="08C2337F" w14:textId="77777777" w:rsidR="00964DD0" w:rsidRDefault="00964DD0" w:rsidP="00964DD0">
            <w:pPr>
              <w:spacing w:after="0" w:line="240" w:lineRule="auto"/>
            </w:pPr>
            <w:r>
              <w:t>(KPHC) 2019.</w:t>
            </w:r>
          </w:p>
          <w:p w14:paraId="1D3E4ADB" w14:textId="77777777" w:rsidR="00964DD0" w:rsidRDefault="00964DD0" w:rsidP="00964DD0">
            <w:pPr>
              <w:spacing w:after="0" w:line="240" w:lineRule="auto"/>
            </w:pPr>
            <w:r>
              <w:t>42,022 households were randomly selected from the</w:t>
            </w:r>
          </w:p>
          <w:p w14:paraId="79CA847A" w14:textId="77777777" w:rsidR="00964DD0" w:rsidRDefault="00964DD0" w:rsidP="00964DD0">
            <w:pPr>
              <w:spacing w:after="0" w:line="240" w:lineRule="auto"/>
            </w:pPr>
            <w:r>
              <w:t>enumeration areas out of which, 38,731 were occupied.</w:t>
            </w:r>
          </w:p>
          <w:p w14:paraId="6949431D" w14:textId="77777777" w:rsidR="00964DD0" w:rsidRDefault="00964DD0" w:rsidP="00964DD0">
            <w:pPr>
              <w:spacing w:after="0" w:line="240" w:lineRule="auto"/>
            </w:pPr>
            <w:r>
              <w:t>Research Assistants (RA) managed to successfully interview</w:t>
            </w:r>
          </w:p>
          <w:p w14:paraId="3AA0A70C" w14:textId="77777777" w:rsidR="00964DD0" w:rsidRDefault="00964DD0" w:rsidP="00964DD0">
            <w:pPr>
              <w:spacing w:after="0" w:line="240" w:lineRule="auto"/>
            </w:pPr>
            <w:r>
              <w:t>37,911 respondents which made the response rate to be </w:t>
            </w:r>
          </w:p>
          <w:p w14:paraId="40354656" w14:textId="77777777" w:rsidR="00964DD0" w:rsidRDefault="00964DD0" w:rsidP="00964DD0">
            <w:pPr>
              <w:spacing w:after="0" w:line="240" w:lineRule="auto"/>
            </w:pPr>
            <w:r>
              <w:t>98%. </w:t>
            </w:r>
          </w:p>
          <w:p w14:paraId="56D815F3" w14:textId="77777777" w:rsidR="00964DD0" w:rsidRDefault="00964DD0" w:rsidP="00964DD0">
            <w:pPr>
              <w:spacing w:after="0" w:line="240" w:lineRule="auto"/>
            </w:pPr>
            <w:r>
              <w:t>Recorded responses are verified by a supervisor then sent to</w:t>
            </w:r>
          </w:p>
          <w:p w14:paraId="3ACEFAC5" w14:textId="77777777" w:rsidR="00964DD0" w:rsidRDefault="00964DD0" w:rsidP="00964DD0">
            <w:pPr>
              <w:spacing w:after="0" w:line="240" w:lineRule="auto"/>
            </w:pPr>
            <w:r>
              <w:t>a KNBS server. Errors are checked and corrections made.</w:t>
            </w:r>
          </w:p>
          <w:p w14:paraId="31773C32" w14:textId="77777777" w:rsidR="00964DD0" w:rsidRDefault="00964DD0" w:rsidP="00964DD0">
            <w:pPr>
              <w:spacing w:after="0" w:line="240" w:lineRule="auto"/>
            </w:pPr>
            <w:r>
              <w:t>Data is then cleaned, analyzed, validated then disseminated.</w:t>
            </w:r>
          </w:p>
          <w:p w14:paraId="60E54013" w14:textId="173245A8" w:rsidR="0035311B" w:rsidRPr="00964DD0" w:rsidRDefault="00964DD0" w:rsidP="00964DD0">
            <w:pPr>
              <w:spacing w:after="0" w:line="240" w:lineRule="auto"/>
              <w:jc w:val="both"/>
              <w:rPr>
                <w:rFonts w:ascii="Times New Roman" w:eastAsia="Times New Roman" w:hAnsi="Times New Roman" w:cs="Times New Roman"/>
                <w:sz w:val="20"/>
                <w:szCs w:val="20"/>
                <w:lang w:val="en-GB"/>
              </w:rPr>
            </w:pPr>
            <w:r>
              <w:rPr>
                <w:highlight w:val="yellow"/>
              </w:rPr>
              <w:t>On the other hand, t</w:t>
            </w:r>
            <w:r w:rsidRPr="00572038">
              <w:rPr>
                <w:highlight w:val="yellow"/>
              </w:rPr>
              <w:t xml:space="preserve">he Kenya Health Information System(KHIS) collects administrative data on adolescents presenting with pregnancy at first ANC visit on a daily basis. This ensures that </w:t>
            </w:r>
            <w:r w:rsidRPr="00572038">
              <w:rPr>
                <w:highlight w:val="yellow"/>
              </w:rPr>
              <w:lastRenderedPageBreak/>
              <w:t>proxy information on the birth rate is available at a higher frequency as opposed to the DHS which is done once in every 5 years.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BE5F755" w:rsidR="0035311B" w:rsidRPr="009F305C" w:rsidRDefault="002B1D4F" w:rsidP="009F305C">
            <w:r>
              <w:t>Data are compiled and updated on a regular basis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A693970" w:rsidR="0035311B" w:rsidRPr="009F305C" w:rsidRDefault="002B1D4F"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712C98E" w:rsidR="0035311B" w:rsidRPr="009F305C" w:rsidRDefault="002B1D4F" w:rsidP="009F305C">
            <w:r>
              <w:t>Household and Health Facility Based</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3F6C5CB3" w:rsidR="0035311B" w:rsidRPr="009F305C" w:rsidRDefault="002B1D4F"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0B57D184" w:rsidR="0035311B" w:rsidRPr="009F305C" w:rsidRDefault="002B1D4F" w:rsidP="009F305C">
            <w:r w:rsidRPr="00AA21AA">
              <w:t>The Kenya National Bureau of Statistics (KNBS) is established under the Statistics Act, 2006 as the principal agency of the Government for collecting, analyzing and disseminating statistical data in Kenya and as the custodian of official statistical information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DF939F2" w:rsidR="007F2D9F" w:rsidRPr="009F305C" w:rsidRDefault="002B1D4F" w:rsidP="009F305C">
            <w:r>
              <w:t>Reducing adolescent fertility and addressing the multiple factors underlying it are essential for improving sexual and reproductive health and the social and economic well-being of adolescents. There is substantial agreement in the literature that women who become pregnant and give birth very early in their reproductive lives are subject to higher risks of complications or even death during pregnancy and birth and their children are also more vulnerable. Therefore, preventing births very early in a woman’s life is an important measure to improve maternal health and reduce infant mortality. Furthermore, women having children at an early age experience reduced opportunities for socioeconomic advancement, particularly because young mothers are less likely to complete their education and, if they need to work, may find it especially difficult to combine family and work responsibilities. The adolescent birth rate also provides indirect evidence on access to pertinent health services since young people, and in particular unmarried adolescent women, often experience difficulties in access to sexual and reproductive health services.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70F21D0" w:rsidR="007F2D9F" w:rsidRPr="009F305C" w:rsidRDefault="002B1D4F" w:rsidP="009F305C">
            <w:r>
              <w:t xml:space="preserve">Discrepancies between estimates obtained from different national data are common. For civil registration, rates are subject to limitations which depend on the completeness of </w:t>
            </w:r>
            <w:r>
              <w:lastRenderedPageBreak/>
              <w:t>birth registration, the treatment of infants born alive but die before registration or within the first 24 hours of life, the quality of the reported information relating to age of the mother, and the inclusion of births from previous periods. The population estimates may suffer from limitations connected to age misreporting and coverage.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FFF6A41" w:rsidR="007F2D9F" w:rsidRPr="009F305C" w:rsidRDefault="002B1D4F" w:rsidP="009F305C">
            <w:r>
              <w:t>The adolescent birth rate is computed as a ratio. The numerator is the number of live births to women aged 15-19 years, and the denominator an estimate of exposure to childbearing by women aged 15-19 years. The computation is the same for the age group 10-14 years. The numerator and the denominator are calculated differently for civil registration, survey and census data. Computation formula: Adolescent Birth Rate (15-19) = (number of births to women ages 15-19/mid-year population of women ages 15-19) * 1,000 In the case of civil registration data, the numerator is the registered number of live births born to women aged 15-19 years during a given year, and the denominator is the estimated or enumerated population of women aged 15-19 years. In the case of survey data, the numerator is the number of live births obtained from retrospective birth histories of the interviewed women who were 15-19 years of age at the time of the births during a reference period before the interview, and the denominator is person-years lived between the ages of 15 and 19 years by the interviewed women during the same reference period. The reported observation year corresponds to the middle of the reference period. For some surveys without data on retrospective birth histories, computation of the adolescent birth rate is based on the date of last birth or the number of births in the 12 months preceding the survey. With census data, the adolescent birth rate is computed on the basis of the date of last birth or the number of births in the 12 months preceding the enumeration. The census provides both the numerator and the denominator for the rates. In some cases, the rates based on censuses are adjusted for under registration based on indirect methods of estimation. For some countries with no other reliable data, the own-children method of indirect estimation provides estimates of the adolescent birth rate for a number of years before the census.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A2310D1" w:rsidR="007F2D9F" w:rsidRPr="009F305C" w:rsidRDefault="002B1D4F" w:rsidP="009F305C">
            <w:r>
              <w:t xml:space="preserve">The Population Division maintains an online database on of empirical demographic data and selected tabulations </w:t>
            </w:r>
            <w:r>
              <w:lastRenderedPageBreak/>
              <w:t>(including fertility rates) from different sources including estimates produced by KNBS and regional statistical units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2BED86C0" w:rsidR="007F2D9F" w:rsidRPr="002B1D4F" w:rsidRDefault="002B1D4F" w:rsidP="002B1D4F">
            <w:pPr>
              <w:spacing w:after="0" w:line="240" w:lineRule="auto"/>
              <w:rPr>
                <w:rFonts w:ascii="Times New Roman" w:eastAsia="Times New Roman" w:hAnsi="Times New Roman" w:cs="Times New Roman"/>
                <w:sz w:val="20"/>
                <w:szCs w:val="20"/>
                <w:lang w:val="en-GB"/>
              </w:rPr>
            </w:pPr>
            <w:r>
              <w:t>When data are available from civil registration systems covering 90 percent or more of all live births, the adolescent birth rate is calculated by dividing the annual number of live births to females aged 19 years or younger (10-14 and 15-19 age groups) by the female population in the pertinent age group taken from the latest revision of World Population Prospects produced by the Population Division. The adolescent birth rate from other sources are not adjusted.</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1874140A" w:rsidR="007F2D9F" w:rsidRPr="009F305C" w:rsidRDefault="002B1D4F" w:rsidP="009F305C">
            <w:r>
              <w:t>At country level There is no attempt to provide estimates for individual countries or areas when country or area data are not available. At regional and global levels, the regional or global aggregates of the adolescent birth rate for the age group 15-19 years are from the latest revision of World Population Prospects produced by the Population Division. In cases where data are missing or assessed as unreliable, estimates for individual countries or areas are generated either through expert-based opinion, reviewing and weighting each observation analytically, or, in more recent years, using automated statistical methods, or by using a bias-adjusted data model to control for systematic biases between different types of data.</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4D2B036" w:rsidR="007F2D9F" w:rsidRPr="009F305C" w:rsidRDefault="002B1D4F" w:rsidP="009F305C">
            <w:r>
              <w:t>The adolescent birth rates reported for global and regional aggregates are based on the average of estimated adolescent birth rates for two, contiguous five-year periods</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83B7A57" w:rsidR="007F2D9F" w:rsidRPr="009F305C" w:rsidRDefault="002B1D4F" w:rsidP="009F305C">
            <w:r>
              <w:t xml:space="preserve">KDHS 2022 : </w:t>
            </w:r>
            <w:hyperlink r:id="rId22" w:history="1">
              <w:r w:rsidRPr="00F45649">
                <w:rPr>
                  <w:rStyle w:val="Hyperlink"/>
                </w:rPr>
                <w:t>https://www.knbs.or.ke/publications/</w:t>
              </w:r>
            </w:hyperlink>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0AD27C" w:rsidR="007F2D9F" w:rsidRPr="009F305C" w:rsidRDefault="002B1D4F" w:rsidP="009F305C">
            <w:r w:rsidRPr="00204214">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r>
              <w:t>.</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1BE18C3" w:rsidR="007F2D9F" w:rsidRPr="009F305C" w:rsidRDefault="00AF4AD5" w:rsidP="009F305C">
            <w:r>
              <w:t>See 4.d</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9D5DB52" w:rsidR="007F2D9F" w:rsidRPr="009F305C" w:rsidRDefault="00AF4AD5" w:rsidP="009F305C">
            <w:r>
              <w:t>See 4.d</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lastRenderedPageBreak/>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E371F70" w:rsidR="00776312" w:rsidRPr="009F305C" w:rsidRDefault="00AF4AD5" w:rsidP="009F305C">
            <w:r>
              <w:t>Data available by sex (only female), age ( 10-19 years) and Nationally only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6104EE" w:rsidR="006A7EF1" w:rsidRPr="009F305C" w:rsidRDefault="00AF4AD5"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5ABDB8C" w14:textId="77777777" w:rsidR="00AF4AD5" w:rsidRDefault="00AF4AD5" w:rsidP="00AF4AD5">
            <w:hyperlink r:id="rId23" w:history="1">
              <w:r w:rsidRPr="00F45649">
                <w:rPr>
                  <w:rStyle w:val="Hyperlink"/>
                </w:rPr>
                <w:t>https://www.knbs.or.ke/kenya-demographic-and-health-survey-kdhs-2022/</w:t>
              </w:r>
            </w:hyperlink>
          </w:p>
          <w:p w14:paraId="127FB56F" w14:textId="7A6AC6C6" w:rsidR="006F104C" w:rsidRPr="009F305C" w:rsidRDefault="00AF4AD5" w:rsidP="009F305C">
            <w:hyperlink r:id="rId24" w:history="1">
              <w:r w:rsidRPr="00F45649">
                <w:rPr>
                  <w:rStyle w:val="Hyperlink"/>
                </w:rPr>
                <w:t>https://www.knbs.or.ke/publications/</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964DD0" w:rsidRDefault="00964DD0" w:rsidP="006B0512">
      <w:pPr>
        <w:spacing w:after="0" w:line="240" w:lineRule="auto"/>
      </w:pPr>
      <w:r>
        <w:separator/>
      </w:r>
    </w:p>
  </w:endnote>
  <w:endnote w:type="continuationSeparator" w:id="0">
    <w:p w14:paraId="0652DDFD" w14:textId="77777777" w:rsidR="00964DD0" w:rsidRDefault="00964DD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01B8C1C0" w:rsidR="00964DD0" w:rsidRDefault="00964DD0">
        <w:pPr>
          <w:pStyle w:val="Footer"/>
          <w:jc w:val="right"/>
        </w:pPr>
        <w:r>
          <w:fldChar w:fldCharType="begin"/>
        </w:r>
        <w:r>
          <w:instrText xml:space="preserve"> PAGE   \* MERGEFORMAT </w:instrText>
        </w:r>
        <w:r>
          <w:fldChar w:fldCharType="separate"/>
        </w:r>
        <w:r w:rsidR="00E50A13">
          <w:rPr>
            <w:noProof/>
          </w:rPr>
          <w:t>3</w:t>
        </w:r>
        <w:r>
          <w:rPr>
            <w:noProof/>
          </w:rPr>
          <w:fldChar w:fldCharType="end"/>
        </w:r>
      </w:p>
    </w:sdtContent>
  </w:sdt>
  <w:p w14:paraId="232AF3D4" w14:textId="77777777" w:rsidR="00964DD0" w:rsidRDefault="00964DD0">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3E0E815" w:rsidR="00964DD0" w:rsidRDefault="00964DD0">
        <w:pPr>
          <w:pStyle w:val="Footer"/>
          <w:jc w:val="right"/>
        </w:pPr>
        <w:r>
          <w:fldChar w:fldCharType="begin"/>
        </w:r>
        <w:r>
          <w:instrText xml:space="preserve"> PAGE   \* MERGEFORMAT </w:instrText>
        </w:r>
        <w:r>
          <w:fldChar w:fldCharType="separate"/>
        </w:r>
        <w:r w:rsidR="00E50A13">
          <w:rPr>
            <w:noProof/>
          </w:rPr>
          <w:t>1</w:t>
        </w:r>
        <w:r>
          <w:rPr>
            <w:noProof/>
          </w:rPr>
          <w:fldChar w:fldCharType="end"/>
        </w:r>
      </w:p>
    </w:sdtContent>
  </w:sdt>
  <w:p w14:paraId="52FF1B3E" w14:textId="77777777" w:rsidR="00964DD0" w:rsidRDefault="00964DD0">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964DD0" w:rsidRDefault="00964DD0" w:rsidP="006B0512">
      <w:pPr>
        <w:spacing w:after="0" w:line="240" w:lineRule="auto"/>
      </w:pPr>
      <w:r>
        <w:separator/>
      </w:r>
    </w:p>
  </w:footnote>
  <w:footnote w:type="continuationSeparator" w:id="0">
    <w:p w14:paraId="21AE062F" w14:textId="77777777" w:rsidR="00964DD0" w:rsidRDefault="00964DD0" w:rsidP="006B0512">
      <w:pPr>
        <w:spacing w:after="0" w:line="240" w:lineRule="auto"/>
      </w:pPr>
      <w:r>
        <w:continuationSeparator/>
      </w:r>
    </w:p>
  </w:footnote>
  <w:footnote w:id="1">
    <w:p w14:paraId="463C7A6C" w14:textId="3926C0D8" w:rsidR="00964DD0" w:rsidRPr="00B8102F" w:rsidRDefault="00964DD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12FAA"/>
    <w:rsid w:val="00121DA3"/>
    <w:rsid w:val="0013388C"/>
    <w:rsid w:val="0014660A"/>
    <w:rsid w:val="0015178E"/>
    <w:rsid w:val="00151B76"/>
    <w:rsid w:val="00154283"/>
    <w:rsid w:val="0015690D"/>
    <w:rsid w:val="0015725E"/>
    <w:rsid w:val="001734AE"/>
    <w:rsid w:val="00183788"/>
    <w:rsid w:val="0018734D"/>
    <w:rsid w:val="001A0E35"/>
    <w:rsid w:val="001A6F28"/>
    <w:rsid w:val="001B6829"/>
    <w:rsid w:val="001B7395"/>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1D4F"/>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2C63"/>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DD0"/>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AF4AD5"/>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0A81"/>
    <w:rsid w:val="00E263EC"/>
    <w:rsid w:val="00E27187"/>
    <w:rsid w:val="00E362E3"/>
    <w:rsid w:val="00E44F28"/>
    <w:rsid w:val="00E50A13"/>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www.knbs.or.ke/publications/" TargetMode="Externa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knbs.or.ke/kenya-demographic-and-health-survey-kdhs-2022/" TargetMode="External"/><Relationship Id="rId28"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www.knbs.or.ke/publications/" TargetMode="Externa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panose1 w:val="00000000000000000000"/>
    <w:charset w:val="80"/>
    <w:family w:val="roman"/>
    <w:notTrueType/>
    <w:pitch w:val="default"/>
  </w:font>
  <w:font w:name="DengXian">
    <w:altName w:val="等线"/>
    <w:panose1 w:val="02010600030101010101"/>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27043"/>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schemas.microsoft.com/office/2006/documentManagement/types"/>
    <ds:schemaRef ds:uri="http://www.w3.org/XML/1998/namespace"/>
    <ds:schemaRef ds:uri="http://purl.org/dc/elements/1.1/"/>
    <ds:schemaRef ds:uri="http://schemas.microsoft.com/office/infopath/2007/PartnerControls"/>
    <ds:schemaRef ds:uri="http://purl.org/dc/dcmitype/"/>
    <ds:schemaRef ds:uri="http://purl.org/dc/terms/"/>
    <ds:schemaRef ds:uri="http://schemas.microsoft.com/office/2006/metadata/properties"/>
    <ds:schemaRef ds:uri="http://schemas.openxmlformats.org/package/2006/metadata/core-properties"/>
    <ds:schemaRef ds:uri="331bc5fa-37a0-4eaf-92e6-e8f500860589"/>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1AD00B2-E22C-4DCA-8830-B14D1DE1AD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TotalTime>
  <Pages>14</Pages>
  <Words>216803</Words>
  <Characters>1235778</Characters>
  <Application>Microsoft Office Word</Application>
  <DocSecurity>8</DocSecurity>
  <Lines>10298</Lines>
  <Paragraphs>2899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1449682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HP</cp:lastModifiedBy>
  <cp:revision>10</cp:revision>
  <cp:lastPrinted>2020-04-16T14:23:00Z</cp:lastPrinted>
  <dcterms:created xsi:type="dcterms:W3CDTF">2024-05-09T10:33:00Z</dcterms:created>
  <dcterms:modified xsi:type="dcterms:W3CDTF">2024-05-09T11:12:00Z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