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2048E3CD" w:rsidR="00355460" w:rsidRPr="00E263EC" w:rsidRDefault="00A542B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5B24785" w:rsidR="00B66AF3" w:rsidRDefault="00A542BA" w:rsidP="00B66AF3">
          <w:r>
            <w:t>11.7.1 Average share of the built-up area of cities that is open space for public use for all [11.7.1] (EN_URB_OPENSP)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AF68FA3" w:rsidR="00FD54D7" w:rsidRDefault="006E7EA5" w:rsidP="002806B7">
      <w:pPr>
        <w:spacing w:after="0"/>
        <w:rPr>
          <w:sz w:val="26"/>
          <w:szCs w:val="26"/>
        </w:rPr>
      </w:pPr>
      <w:r>
        <w:rPr>
          <w:noProof/>
          <w:sz w:val="26"/>
          <w:szCs w:val="26"/>
        </w:rPr>
        <w:drawing>
          <wp:inline distT="0" distB="0" distL="0" distR="0" wp14:anchorId="0620FBD8" wp14:editId="354B0B20">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5AECB46">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567FFB23" w:rsidR="0077584C" w:rsidRDefault="00A542B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FF55762" w:rsidR="00F7784D" w:rsidRDefault="00A542BA"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0D97FEA" w:rsidR="00F54570" w:rsidRDefault="006E7EA5" w:rsidP="00355460">
      <w:r>
        <w:rPr>
          <w:noProof/>
        </w:rPr>
        <w:drawing>
          <wp:inline distT="0" distB="0" distL="0" distR="0" wp14:anchorId="196EDF24" wp14:editId="66BF3823">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4A0B0CA">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A71D17B" w:rsidR="005377B9" w:rsidRPr="009F305C" w:rsidRDefault="00A542BA" w:rsidP="009F305C">
            <w:r>
              <w:t>]</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D47180" w:rsidR="005377B9" w:rsidRPr="009F305C" w:rsidRDefault="00D53FC5" w:rsidP="009F305C">
            <w:r w:rsidRPr="00E60E1A">
              <w:t>Make cities and human settlements inclusive, safe, resilient and sustainable</w:t>
            </w:r>
            <w: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99D77AD" w14:textId="32A710E1" w:rsidR="00D53FC5" w:rsidRPr="00A96255" w:rsidRDefault="00D53FC5" w:rsidP="00D53FC5">
            <w:pPr>
              <w:pStyle w:val="MGTHeader"/>
            </w:pPr>
            <w:r w:rsidRPr="00E60E1A">
              <w:t>By 2030, provide universal access to safe, inclusive and accessible, green and public spaces, in particular for women and children, older persons and persons with disabilities</w:t>
            </w:r>
            <w:r>
              <w:t>]</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AFC9F5C" w:rsidR="005377B9" w:rsidRPr="009F305C" w:rsidRDefault="00D53FC5" w:rsidP="009F305C">
            <w:r w:rsidRPr="00E60E1A">
              <w:t>Average share of the built-up area of cities that is open space for public use for all, by sex, age and persons with disabilities</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0B67D8B" w:rsidR="005377B9" w:rsidRPr="009F305C" w:rsidRDefault="00A542BA" w:rsidP="009F305C">
            <w:r>
              <w: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C942020" w:rsidR="005377B9" w:rsidRPr="009F305C" w:rsidRDefault="00242DDC" w:rsidP="009F305C">
            <w:r>
              <w:t>202</w:t>
            </w:r>
            <w:r w:rsidR="00A542BA">
              <w:t>4</w:t>
            </w:r>
            <w:r>
              <w:t>]</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06C207E" w14:textId="77777777" w:rsidR="00D53FC5" w:rsidRDefault="00D53FC5" w:rsidP="00D53FC5">
            <w:pPr>
              <w:pStyle w:val="MGTHeader"/>
            </w:pPr>
            <w:r>
              <w:t>11.3.1: Ratio of land consumption rate to population growth rate</w:t>
            </w:r>
          </w:p>
          <w:p w14:paraId="1D8C2572" w14:textId="1E31D78A" w:rsidR="005377B9" w:rsidRPr="009F305C" w:rsidRDefault="00D53FC5" w:rsidP="00D53FC5">
            <w:pPr>
              <w:pStyle w:val="MGTHeader"/>
            </w:pPr>
            <w:r>
              <w:t>11.2.1: Proportion of population that has convenient access to public transport, by sex, age and persons with disabilities]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CC51700" w:rsidR="005377B9" w:rsidRPr="00D53FC5" w:rsidRDefault="00D53FC5" w:rsidP="00D53FC5">
            <w:pPr>
              <w:pStyle w:val="MGTHeader"/>
              <w:rPr>
                <w:lang w:val="fr-FR"/>
              </w:rPr>
            </w:pPr>
            <w:r w:rsidRPr="00BA28AF">
              <w:rPr>
                <w:lang w:val="fr-FR"/>
              </w:rPr>
              <w:t>UN-HABITAT</w:t>
            </w:r>
            <w:r>
              <w:rPr>
                <w:lang w:val="fr-FR"/>
              </w:rPr>
              <w:t>]</w:t>
            </w:r>
            <w:r>
              <w:tab/>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6A8AA7C" w:rsidR="003E7389" w:rsidRPr="009F305C" w:rsidRDefault="00242DDC" w:rsidP="009F305C">
            <w:r>
              <w:t>]</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298EDE" w:rsidR="003E7389" w:rsidRPr="009F305C" w:rsidRDefault="00D53FC5"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74AC33B" w:rsidR="003E7389" w:rsidRPr="009F305C" w:rsidRDefault="00120A80" w:rsidP="009F305C">
            <w:r>
              <w:t>Manager, Cartography/GIS</w:t>
            </w:r>
            <w:r w:rsidR="00242DDC">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483BE0D" w:rsidR="003E7389" w:rsidRPr="009F305C" w:rsidRDefault="00120A80" w:rsidP="009F305C">
            <w:r>
              <w:t>Cartography/GIS</w:t>
            </w:r>
            <w:r>
              <w:t xml:space="preserve"> Division</w:t>
            </w:r>
            <w:r w:rsidR="00242DDC">
              <w: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B5F2267" w:rsidR="003E7389" w:rsidRPr="009F305C" w:rsidRDefault="00242DDC" w:rsidP="009F305C">
            <w:r>
              <w:t>C</w:t>
            </w:r>
            <w:r w:rsidRPr="003E231C">
              <w:t>onducting the Population and Housing Census every ten years, and such other censuses and surveys as the Board may determine</w:t>
            </w:r>
            <w:r>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0570761" w:rsidR="003E7389" w:rsidRPr="009F305C" w:rsidRDefault="007B6771" w:rsidP="009F305C">
            <w:r w:rsidRPr="007B6771">
              <w:t>2911000/1,3317612/22</w:t>
            </w:r>
            <w:r>
              <w:t>/23/51</w:t>
            </w:r>
            <w:r w:rsidR="00242DDC">
              <w:t>]</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0D4119A" w:rsidR="003E7389" w:rsidRPr="009F305C" w:rsidRDefault="00A542BA" w:rsidP="009F305C">
            <w:r>
              <w:t>P.O Box 3</w:t>
            </w:r>
            <w:r w:rsidR="007B6771">
              <w:t>0266-00100</w:t>
            </w:r>
            <w:r w:rsidR="00242DDC">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6016FB7" w:rsidR="003E7389" w:rsidRPr="009F305C" w:rsidRDefault="00000000" w:rsidP="009F305C">
            <w:hyperlink r:id="rId17" w:history="1">
              <w:r w:rsidR="007B6771" w:rsidRPr="00202FC6">
                <w:rPr>
                  <w:rStyle w:val="Hyperlink"/>
                </w:rPr>
                <w:t>dpss@knbs.or.ke</w:t>
              </w:r>
            </w:hyperlink>
            <w:r w:rsidR="00A542BA">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B119653" w14:textId="0E160E8D" w:rsidR="00242DDC" w:rsidRDefault="00242DDC" w:rsidP="009F305C">
            <w:pPr>
              <w:rPr>
                <w:b/>
                <w:bCs/>
                <w:color w:val="4A4A4A"/>
                <w:lang w:eastAsia="en-GB"/>
              </w:rPr>
            </w:pPr>
            <w:r>
              <w:rPr>
                <w:b/>
                <w:bCs/>
                <w:color w:val="4A4A4A"/>
                <w:lang w:eastAsia="en-GB"/>
              </w:rPr>
              <w:t>Definitions</w:t>
            </w:r>
          </w:p>
          <w:p w14:paraId="62D737EC" w14:textId="17C8BD44" w:rsidR="0015178E" w:rsidRDefault="00880D5A" w:rsidP="009F305C">
            <w:pPr>
              <w:rPr>
                <w:color w:val="4A4A4A"/>
                <w:lang w:eastAsia="en-GB"/>
              </w:rPr>
            </w:pPr>
            <w:r w:rsidRPr="00B45110">
              <w:rPr>
                <w:b/>
                <w:bCs/>
                <w:color w:val="4A4A4A"/>
                <w:lang w:eastAsia="en-GB"/>
              </w:rPr>
              <w:t>Public space:</w:t>
            </w:r>
            <w:r w:rsidRPr="00B45110">
              <w:rPr>
                <w:color w:val="4A4A4A"/>
                <w:lang w:eastAsia="en-GB"/>
              </w:rPr>
              <w:t xml:space="preserve"> The Global Public Space toolkit defines Public Space as all places that are publicly owned or of public use, accessible and enjoyable by all, for free and without a profit motive, categorized into streets, open spaces and public facilities. Public space in general is defined as the meeting or gathering places that exist outside the home and workplace </w:t>
            </w:r>
            <w:r w:rsidRPr="00B45110">
              <w:rPr>
                <w:color w:val="4A4A4A"/>
                <w:lang w:eastAsia="en-GB"/>
              </w:rPr>
              <w:lastRenderedPageBreak/>
              <w:t>that are generally accessible by members of the public, and which foster resident interaction and opportunities for contact and proximity.</w:t>
            </w:r>
          </w:p>
          <w:p w14:paraId="469A2770" w14:textId="77777777" w:rsidR="00B52788" w:rsidRDefault="00880D5A" w:rsidP="009F305C">
            <w:pPr>
              <w:rPr>
                <w:color w:val="4A4A4A"/>
                <w:sz w:val="21"/>
                <w:szCs w:val="21"/>
              </w:rPr>
            </w:pPr>
            <w:r w:rsidRPr="00B45110">
              <w:rPr>
                <w:b/>
                <w:color w:val="4A4A4A"/>
                <w:sz w:val="21"/>
                <w:szCs w:val="21"/>
              </w:rPr>
              <w:t>Open public space</w:t>
            </w:r>
            <w:r w:rsidRPr="00B45110">
              <w:rPr>
                <w:color w:val="4A4A4A"/>
                <w:sz w:val="21"/>
                <w:szCs w:val="21"/>
              </w:rPr>
              <w:t xml:space="preserve">: is any open piece of land that is undeveloped or land with no buildings (or other built structures) that is accessible to the public without charge, and provides recreational areas for residents and helps to enhance the beauty and environmental quality of </w:t>
            </w:r>
            <w:r w:rsidR="000D0DC2" w:rsidRPr="00B45110">
              <w:rPr>
                <w:color w:val="4A4A4A"/>
                <w:sz w:val="21"/>
                <w:szCs w:val="21"/>
              </w:rPr>
              <w:t>neighborhoods</w:t>
            </w:r>
            <w:r w:rsidRPr="00B45110">
              <w:rPr>
                <w:color w:val="4A4A4A"/>
                <w:sz w:val="21"/>
                <w:szCs w:val="21"/>
              </w:rPr>
              <w:t>.</w:t>
            </w:r>
          </w:p>
          <w:p w14:paraId="22E7DC11" w14:textId="77777777" w:rsidR="00B52788" w:rsidRDefault="00B52788" w:rsidP="00B52788">
            <w:pPr>
              <w:shd w:val="clear" w:color="auto" w:fill="FFFFFF"/>
              <w:spacing w:after="0"/>
              <w:contextualSpacing/>
              <w:jc w:val="both"/>
              <w:rPr>
                <w:rFonts w:eastAsia="Times New Roman" w:cs="Times New Roman"/>
                <w:color w:val="4A4A4A"/>
                <w:sz w:val="21"/>
                <w:szCs w:val="21"/>
                <w:lang w:eastAsia="en-GB"/>
              </w:rPr>
            </w:pPr>
            <w:r w:rsidRPr="00393098">
              <w:rPr>
                <w:rFonts w:eastAsia="Times New Roman" w:cs="Times New Roman"/>
                <w:b/>
                <w:bCs/>
                <w:color w:val="4A4A4A"/>
                <w:sz w:val="21"/>
                <w:szCs w:val="21"/>
                <w:lang w:eastAsia="en-GB"/>
              </w:rPr>
              <w:t>City or urban area</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T</w:t>
            </w:r>
            <w:r w:rsidRPr="00393098">
              <w:rPr>
                <w:rFonts w:eastAsia="Times New Roman" w:cs="Times New Roman"/>
                <w:color w:val="4A4A4A"/>
                <w:sz w:val="21"/>
                <w:szCs w:val="21"/>
                <w:lang w:eastAsia="en-GB"/>
              </w:rPr>
              <w:t xml:space="preserve">he Degree of Urbanisation (DEGURBA) </w:t>
            </w:r>
            <w:r>
              <w:rPr>
                <w:rFonts w:eastAsia="Times New Roman" w:cs="Times New Roman"/>
                <w:color w:val="4A4A4A"/>
                <w:sz w:val="21"/>
                <w:szCs w:val="21"/>
                <w:lang w:eastAsia="en-GB"/>
              </w:rPr>
              <w:t xml:space="preserve">endorsed by </w:t>
            </w:r>
            <w:r w:rsidRPr="00393098">
              <w:rPr>
                <w:rFonts w:eastAsia="Times New Roman" w:cs="Times New Roman"/>
                <w:color w:val="4A4A4A"/>
                <w:sz w:val="21"/>
                <w:szCs w:val="21"/>
                <w:lang w:eastAsia="en-GB"/>
              </w:rPr>
              <w:t xml:space="preserve">the United Nations Statistical Commission, in its 51st Session (March 2020) </w:t>
            </w:r>
            <w:r>
              <w:rPr>
                <w:rFonts w:eastAsia="Times New Roman" w:cs="Times New Roman"/>
                <w:color w:val="4A4A4A"/>
                <w:sz w:val="21"/>
                <w:szCs w:val="21"/>
                <w:lang w:eastAsia="en-GB"/>
              </w:rPr>
              <w:t xml:space="preserve">is the </w:t>
            </w:r>
            <w:r w:rsidRPr="00393098">
              <w:rPr>
                <w:rFonts w:eastAsia="Times New Roman" w:cs="Times New Roman"/>
                <w:color w:val="4A4A4A"/>
                <w:sz w:val="21"/>
                <w:szCs w:val="21"/>
                <w:lang w:eastAsia="en-GB"/>
              </w:rPr>
              <w:t>workable method</w:t>
            </w:r>
            <w:r>
              <w:rPr>
                <w:rFonts w:eastAsia="Times New Roman" w:cs="Times New Roman"/>
                <w:color w:val="4A4A4A"/>
                <w:sz w:val="21"/>
                <w:szCs w:val="21"/>
                <w:lang w:eastAsia="en-GB"/>
              </w:rPr>
              <w:t xml:space="preserve"> used to delineate </w:t>
            </w:r>
            <w:r w:rsidRPr="00393098">
              <w:rPr>
                <w:rFonts w:eastAsia="Times New Roman" w:cs="Times New Roman"/>
                <w:color w:val="4A4A4A"/>
                <w:sz w:val="21"/>
                <w:szCs w:val="21"/>
                <w:lang w:eastAsia="en-GB"/>
              </w:rPr>
              <w:t>cities, urban and rural areas for international statistical comparisons</w:t>
            </w:r>
            <w:r>
              <w:rPr>
                <w:rFonts w:eastAsia="Times New Roman" w:cs="Times New Roman"/>
                <w:color w:val="4A4A4A"/>
                <w:sz w:val="21"/>
                <w:szCs w:val="21"/>
                <w:lang w:eastAsia="en-GB"/>
              </w:rPr>
              <w:t xml:space="preserve"> in this indicator</w:t>
            </w:r>
            <w:r w:rsidRPr="00393098">
              <w:rPr>
                <w:rFonts w:eastAsia="Times New Roman" w:cs="Times New Roman"/>
                <w:color w:val="4A4A4A"/>
                <w:sz w:val="21"/>
                <w:szCs w:val="21"/>
                <w:lang w:eastAsia="en-GB"/>
              </w:rPr>
              <w:t>.</w:t>
            </w:r>
            <w:r w:rsidRPr="00393098">
              <w:rPr>
                <w:rFonts w:eastAsia="Times New Roman" w:cs="Times New Roman"/>
                <w:color w:val="4A4A4A"/>
                <w:sz w:val="21"/>
                <w:szCs w:val="21"/>
                <w:vertAlign w:val="superscript"/>
                <w:lang w:eastAsia="en-GB"/>
              </w:rPr>
              <w:t xml:space="preserve">  </w:t>
            </w:r>
            <w:r w:rsidRPr="00393098">
              <w:rPr>
                <w:rFonts w:eastAsia="Times New Roman" w:cs="Times New Roman"/>
                <w:color w:val="4A4A4A"/>
                <w:sz w:val="21"/>
                <w:szCs w:val="21"/>
                <w:lang w:eastAsia="en-GB"/>
              </w:rPr>
              <w:t>This definition combines population size and population density thresholds to classify the entire territory of a country along the urban-rural continuum, and captures the full extent of a city, including the dense neighborhoods beyond the boundary of the central municipality.</w:t>
            </w:r>
          </w:p>
          <w:p w14:paraId="6C84E827" w14:textId="36E8C933" w:rsidR="00880D5A" w:rsidRPr="007D7476" w:rsidRDefault="00B52788" w:rsidP="009F305C">
            <w:pPr>
              <w:rPr>
                <w:rFonts w:eastAsia="Times New Roman" w:cs="Times New Roman"/>
                <w:color w:val="4A4A4A"/>
                <w:sz w:val="21"/>
                <w:szCs w:val="21"/>
                <w:lang w:eastAsia="en-GB"/>
              </w:rPr>
            </w:pPr>
            <w:r w:rsidRPr="00393098">
              <w:rPr>
                <w:rFonts w:eastAsia="Times New Roman" w:cs="Times New Roman"/>
                <w:color w:val="4A4A4A"/>
                <w:sz w:val="21"/>
                <w:szCs w:val="21"/>
                <w:lang w:eastAsia="en-GB"/>
              </w:rPr>
              <w:t xml:space="preserve">For the computation of </w:t>
            </w:r>
            <w:r>
              <w:rPr>
                <w:rFonts w:eastAsia="Times New Roman" w:cs="Times New Roman"/>
                <w:color w:val="4A4A4A"/>
                <w:sz w:val="21"/>
                <w:szCs w:val="21"/>
                <w:lang w:eastAsia="en-GB"/>
              </w:rPr>
              <w:t xml:space="preserve">this </w:t>
            </w:r>
            <w:r w:rsidRPr="00393098">
              <w:rPr>
                <w:rFonts w:eastAsia="Times New Roman" w:cs="Times New Roman"/>
                <w:color w:val="4A4A4A"/>
                <w:sz w:val="21"/>
                <w:szCs w:val="21"/>
                <w:lang w:eastAsia="en-GB"/>
              </w:rPr>
              <w:t xml:space="preserve">indicator </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11.</w:t>
            </w:r>
            <w:r>
              <w:rPr>
                <w:rFonts w:eastAsia="Times New Roman" w:cs="Times New Roman"/>
                <w:color w:val="4A4A4A"/>
                <w:sz w:val="21"/>
                <w:szCs w:val="21"/>
                <w:lang w:eastAsia="en-GB"/>
              </w:rPr>
              <w:t>7</w:t>
            </w:r>
            <w:r w:rsidRPr="00393098">
              <w:rPr>
                <w:rFonts w:eastAsia="Times New Roman" w:cs="Times New Roman"/>
                <w:color w:val="4A4A4A"/>
                <w:sz w:val="21"/>
                <w:szCs w:val="21"/>
                <w:lang w:eastAsia="en-GB"/>
              </w:rPr>
              <w:t>.1</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Kenya has adopted </w:t>
            </w:r>
            <w:r w:rsidRPr="00393098">
              <w:rPr>
                <w:rFonts w:eastAsia="Times New Roman" w:cs="Times New Roman"/>
                <w:color w:val="4A4A4A"/>
                <w:sz w:val="21"/>
                <w:szCs w:val="21"/>
                <w:lang w:eastAsia="en-GB"/>
              </w:rPr>
              <w:t xml:space="preserve">the </w:t>
            </w:r>
            <w:r>
              <w:rPr>
                <w:rFonts w:eastAsia="Times New Roman" w:cs="Times New Roman"/>
                <w:color w:val="4A4A4A"/>
                <w:sz w:val="21"/>
                <w:szCs w:val="21"/>
                <w:lang w:eastAsia="en-GB"/>
              </w:rPr>
              <w:t xml:space="preserve">DEGURBA </w:t>
            </w:r>
            <w:r w:rsidRPr="002B5073">
              <w:rPr>
                <w:rFonts w:eastAsia="Times New Roman" w:cs="Times New Roman"/>
                <w:color w:val="4A4A4A"/>
                <w:sz w:val="21"/>
                <w:szCs w:val="21"/>
                <w:lang w:eastAsia="en-GB"/>
              </w:rPr>
              <w:t>to define the analysis area (city or urban area).</w:t>
            </w:r>
            <w:r w:rsidR="00880D5A">
              <w:rPr>
                <w:color w:val="4A4A4A"/>
                <w:sz w:val="21"/>
                <w:szCs w:val="21"/>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FDC876F" w:rsidR="0015178E" w:rsidRPr="009F305C" w:rsidRDefault="00856AD6" w:rsidP="00856AD6">
            <w:pPr>
              <w:pStyle w:val="MText"/>
            </w:pPr>
            <w:r>
              <w:t>Proportion (percentage)]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F6A02F6" w14:textId="27456412" w:rsidR="00856AD6" w:rsidRPr="001A29DC" w:rsidRDefault="00856AD6" w:rsidP="00856AD6">
            <w:pPr>
              <w:rPr>
                <w:rFonts w:eastAsia="Calibri" w:cstheme="minorHAnsi"/>
                <w:color w:val="4A4A4A"/>
                <w:sz w:val="21"/>
                <w:szCs w:val="21"/>
              </w:rPr>
            </w:pPr>
            <w:r w:rsidRPr="001A29DC">
              <w:t xml:space="preserve">Spatial data on </w:t>
            </w:r>
            <w:r w:rsidR="00423E0B">
              <w:t>l</w:t>
            </w:r>
            <w:r w:rsidR="00F02678" w:rsidRPr="001A29DC">
              <w:rPr>
                <w:rFonts w:ascii="Calibri" w:eastAsia="Calibri" w:hAnsi="Calibri" w:cs="Calibri"/>
                <w:color w:val="4A4A4A"/>
                <w:sz w:val="21"/>
                <w:szCs w:val="21"/>
                <w:lang w:val="en-GB" w:eastAsia="zh-CN"/>
              </w:rPr>
              <w:t>ocation</w:t>
            </w:r>
            <w:r w:rsidRPr="001A29DC">
              <w:rPr>
                <w:rFonts w:ascii="Calibri" w:eastAsia="Calibri" w:hAnsi="Calibri" w:cs="Calibri"/>
                <w:color w:val="4A4A4A"/>
                <w:sz w:val="21"/>
                <w:szCs w:val="21"/>
                <w:lang w:val="en-GB" w:eastAsia="zh-CN"/>
              </w:rPr>
              <w:t xml:space="preserve"> of </w:t>
            </w:r>
            <w:r w:rsidR="00423E0B">
              <w:rPr>
                <w:rFonts w:ascii="Calibri" w:eastAsia="Calibri" w:hAnsi="Calibri" w:cs="Calibri"/>
                <w:color w:val="4A4A4A"/>
                <w:sz w:val="21"/>
                <w:szCs w:val="21"/>
                <w:lang w:val="en-GB" w:eastAsia="zh-CN"/>
              </w:rPr>
              <w:t>open public spaces</w:t>
            </w:r>
            <w:r w:rsidRPr="001A29DC">
              <w:rPr>
                <w:rFonts w:eastAsia="Calibri" w:cstheme="minorHAnsi"/>
                <w:color w:val="4A4A4A"/>
                <w:sz w:val="21"/>
                <w:szCs w:val="21"/>
              </w:rPr>
              <w:t>.</w:t>
            </w:r>
          </w:p>
          <w:p w14:paraId="5100860A" w14:textId="77777777" w:rsidR="00856AD6" w:rsidRPr="001A29DC" w:rsidRDefault="00856AD6" w:rsidP="00856AD6">
            <w:pPr>
              <w:rPr>
                <w:rFonts w:eastAsia="Calibri" w:cstheme="minorHAnsi"/>
                <w:color w:val="4A4A4A"/>
                <w:sz w:val="21"/>
                <w:szCs w:val="21"/>
              </w:rPr>
            </w:pPr>
            <w:r w:rsidRPr="001A29DC">
              <w:rPr>
                <w:rFonts w:eastAsia="Calibri" w:cstheme="minorHAnsi"/>
                <w:color w:val="4A4A4A"/>
                <w:sz w:val="21"/>
                <w:szCs w:val="21"/>
              </w:rPr>
              <w:t>Population data at enumeration area and 1km2 grid level – number of residents per EA or grid.</w:t>
            </w:r>
          </w:p>
          <w:p w14:paraId="571CD33E" w14:textId="6067A072" w:rsidR="0035311B" w:rsidRPr="009F305C" w:rsidRDefault="00856AD6" w:rsidP="00856AD6">
            <w:r w:rsidRPr="001A29DC">
              <w:t>Demographic data for disaggregation</w:t>
            </w:r>
            <w:r>
              <w:t xml:space="preserve"> by </w:t>
            </w:r>
            <w:r w:rsidR="00423E0B">
              <w:t>age, sex</w:t>
            </w:r>
            <w:r>
              <w:t>, and vulnerable populations]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6B12AC2" w14:textId="20C72D2C" w:rsidR="00F02678" w:rsidRDefault="00F02678" w:rsidP="009F305C">
            <w:r>
              <w:t>Data on potential open public spaces are acquired from high resolution imagery and validated through ground truthing</w:t>
            </w:r>
          </w:p>
          <w:p w14:paraId="60E54013" w14:textId="2C1CC4A8" w:rsidR="0035311B" w:rsidRPr="009F305C" w:rsidRDefault="00856AD6" w:rsidP="009F305C">
            <w:r>
              <w:t>Data collection is done at the local city/urban level, with national aggregates made from all cities in the country, or from a sample of representative cities (selected using the National Sample of Cities Approach developed by UN-Habitat).]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ED0CAF0" w:rsidR="0035311B" w:rsidRPr="009F305C" w:rsidRDefault="00856AD6"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91C075" w:rsidR="0035311B" w:rsidRPr="009F305C" w:rsidRDefault="00856AD6" w:rsidP="009F305C">
            <w:r>
              <w:t>Annually to cater for an anticipated increase in the number of cities/urban areas in the country]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1F85D22" w:rsidR="0035311B" w:rsidRPr="009F305C" w:rsidRDefault="00856AD6" w:rsidP="009F305C">
            <w:r>
              <w:t>Kenya National Bureau of Statistics (KNBS</w:t>
            </w:r>
            <w:r w:rsidR="003C3FF7">
              <w:t>), Department</w:t>
            </w:r>
            <w:r w:rsidR="00E013EF">
              <w:t xml:space="preserve"> of urban Development (DUD)]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14E0B9" w:rsidR="0035311B" w:rsidRPr="009F305C" w:rsidRDefault="00E013EF" w:rsidP="009F305C">
            <w:r>
              <w:t>Kenya National B</w:t>
            </w:r>
            <w:r w:rsidR="000C14D0">
              <w:t>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3C7BB61" w14:textId="77777777" w:rsidR="000C14D0" w:rsidRDefault="000C14D0" w:rsidP="000C14D0">
            <w:r>
              <w:t>Kenya National Bureau of Statistics (KNBS)</w:t>
            </w:r>
          </w:p>
          <w:p w14:paraId="41F1F312" w14:textId="006C5B86" w:rsidR="0035311B" w:rsidRPr="009F305C" w:rsidRDefault="000C14D0" w:rsidP="000C14D0">
            <w:r w:rsidRPr="000F4F09">
              <w:t>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137D1B6" w14:textId="77777777" w:rsidR="00D51E6C" w:rsidRDefault="00936027" w:rsidP="00936027">
            <w:pPr>
              <w:shd w:val="clear" w:color="auto" w:fill="FFFFFF"/>
              <w:spacing w:after="0"/>
              <w:rPr>
                <w:rFonts w:eastAsia="Times New Roman" w:cs="Times New Roman"/>
                <w:color w:val="4A4A4A"/>
                <w:sz w:val="21"/>
                <w:szCs w:val="21"/>
                <w:lang w:eastAsia="en-GB"/>
              </w:rPr>
            </w:pPr>
            <w:r w:rsidRPr="00E505E4">
              <w:rPr>
                <w:rFonts w:eastAsia="Times New Roman" w:cs="Times New Roman"/>
                <w:color w:val="4A4A4A"/>
                <w:sz w:val="21"/>
                <w:szCs w:val="21"/>
                <w:lang w:eastAsia="en-GB"/>
              </w:rPr>
              <w:t xml:space="preserve">The value of public spaces is often overlooked or underestimated by policy makers, leaders, citizens and urban developers. There are several reasons for this, such as the lack of resources, or understanding or capacity to use public space as a complete, multi-functional urban system. Often the lack of appropriate enabling frameworks, weak political will and the absence of the means of public engagement compound the situation. Nevertheless, fundamentally, the lack of a global measurement indicator has hindered the local and global appreciation of the value of the public spaces. </w:t>
            </w:r>
          </w:p>
          <w:p w14:paraId="4C4A4E12" w14:textId="77777777" w:rsidR="003C3FF7" w:rsidRDefault="003C3FF7" w:rsidP="009F305C">
            <w:pPr>
              <w:rPr>
                <w:rFonts w:cstheme="minorHAnsi"/>
                <w:color w:val="4A4A4A"/>
                <w:sz w:val="21"/>
                <w:szCs w:val="21"/>
              </w:rPr>
            </w:pPr>
          </w:p>
          <w:p w14:paraId="2E3517AC" w14:textId="1002DEF7" w:rsidR="007F2D9F" w:rsidRPr="00D51E6C" w:rsidRDefault="004E40E0" w:rsidP="009F305C">
            <w:pPr>
              <w:rPr>
                <w:rFonts w:cstheme="minorHAnsi"/>
                <w:color w:val="4A4A4A"/>
                <w:sz w:val="21"/>
                <w:szCs w:val="21"/>
              </w:rPr>
            </w:pPr>
            <w:r w:rsidRPr="00B45110">
              <w:rPr>
                <w:rFonts w:cstheme="minorHAnsi"/>
                <w:color w:val="4A4A4A"/>
                <w:sz w:val="21"/>
                <w:szCs w:val="21"/>
              </w:rPr>
              <w:t xml:space="preserve">Cities that improve and sustain the use of public space, including streets, enhance community cohesion, civic identity, and quality of life. </w:t>
            </w:r>
            <w:r w:rsidR="00D51E6C" w:rsidRPr="00B45110">
              <w:rPr>
                <w:rFonts w:cstheme="minorHAnsi"/>
                <w:color w:val="4A4A4A"/>
                <w:sz w:val="21"/>
                <w:szCs w:val="21"/>
              </w:rPr>
              <w:t>A well developed and properly designed network of streets</w:t>
            </w:r>
            <w:r>
              <w:rPr>
                <w:rFonts w:cstheme="minorHAnsi"/>
                <w:color w:val="4A4A4A"/>
                <w:sz w:val="21"/>
                <w:szCs w:val="21"/>
              </w:rPr>
              <w:t xml:space="preserve"> not only</w:t>
            </w:r>
            <w:r w:rsidR="00D51E6C" w:rsidRPr="00B45110">
              <w:rPr>
                <w:rFonts w:cstheme="minorHAnsi"/>
                <w:color w:val="4A4A4A"/>
                <w:sz w:val="21"/>
                <w:szCs w:val="21"/>
              </w:rPr>
              <w:t xml:space="preserve"> increases connectivity, promotes walking and social interactions but also encourages development of other street activities that bring life to a city. Equally, a well distributed and hierarchical system of open public spaces that can be accessed by all regardless of </w:t>
            </w:r>
            <w:r w:rsidR="00D51E6C" w:rsidRPr="00B45110">
              <w:rPr>
                <w:rFonts w:eastAsia="Calibri" w:cstheme="minorHAnsi"/>
                <w:color w:val="4A4A4A"/>
                <w:sz w:val="21"/>
                <w:szCs w:val="21"/>
              </w:rPr>
              <w:t>income, gender, race or disability status</w:t>
            </w:r>
            <w:r w:rsidR="00D51E6C" w:rsidRPr="00B45110">
              <w:rPr>
                <w:rFonts w:cstheme="minorHAnsi"/>
                <w:color w:val="4A4A4A"/>
                <w:sz w:val="21"/>
                <w:szCs w:val="21"/>
              </w:rPr>
              <w:t xml:space="preserve"> and one that promotes multiple activities not only encourages their use, but also contributes to the urban character and quality of urban life.</w:t>
            </w:r>
            <w:r w:rsidR="00936027">
              <w:rPr>
                <w:rFonts w:eastAsia="Times New Roman" w:cs="Times New Roman"/>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FA32D10" w14:textId="004891CC" w:rsidR="007F2D9F" w:rsidRDefault="00BA1F01" w:rsidP="009F305C">
            <w:r>
              <w:t>Variation in the types of open public spaces across cities</w:t>
            </w:r>
            <w:r w:rsidR="009C422F">
              <w:t xml:space="preserve"> in the world</w:t>
            </w:r>
          </w:p>
          <w:p w14:paraId="48EF8537" w14:textId="6649B9C6" w:rsidR="00B3775E" w:rsidRPr="009F305C" w:rsidRDefault="00B3775E" w:rsidP="009F305C">
            <w:r>
              <w:t>Lack of a universal definition on public open spaces]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6DCD5C" w14:textId="3C104DD7" w:rsidR="004D5A0C" w:rsidRPr="00B45110" w:rsidRDefault="004D5A0C" w:rsidP="004D5A0C">
            <w:pPr>
              <w:shd w:val="clear" w:color="auto" w:fill="FFFFFF"/>
              <w:spacing w:after="0"/>
              <w:rPr>
                <w:rFonts w:eastAsia="Times New Roman" w:cs="Times New Roman"/>
                <w:color w:val="4A4A4A"/>
                <w:sz w:val="21"/>
                <w:szCs w:val="21"/>
                <w:lang w:eastAsia="en-GB"/>
              </w:rPr>
            </w:pPr>
            <w:r w:rsidRPr="00B45110">
              <w:rPr>
                <w:rFonts w:eastAsia="Times New Roman" w:cs="Times New Roman"/>
                <w:color w:val="4A4A4A"/>
                <w:sz w:val="21"/>
                <w:szCs w:val="21"/>
                <w:lang w:eastAsia="en-GB"/>
              </w:rPr>
              <w:t xml:space="preserve">The method to estimate the area of public space has been globally piloted in over 600 cities and this follows a series of methodological developments </w:t>
            </w:r>
            <w:r w:rsidR="000C5C8D">
              <w:rPr>
                <w:rFonts w:eastAsia="Times New Roman" w:cs="Times New Roman"/>
                <w:color w:val="4A4A4A"/>
                <w:sz w:val="21"/>
                <w:szCs w:val="21"/>
                <w:lang w:eastAsia="en-GB"/>
              </w:rPr>
              <w:t>dating back to the last several years</w:t>
            </w:r>
            <w:r w:rsidRPr="00B45110">
              <w:rPr>
                <w:rFonts w:eastAsia="Times New Roman" w:cs="Times New Roman"/>
                <w:color w:val="4A4A4A"/>
                <w:sz w:val="21"/>
                <w:szCs w:val="21"/>
                <w:lang w:eastAsia="en-GB"/>
              </w:rPr>
              <w:t xml:space="preserve">. The finalized methodology is a three-step process: </w:t>
            </w:r>
          </w:p>
          <w:p w14:paraId="5E6BFB97" w14:textId="751397B5" w:rsidR="004D5A0C" w:rsidRPr="00B45110" w:rsidRDefault="004D5A0C" w:rsidP="004D5A0C">
            <w:pPr>
              <w:pStyle w:val="ListParagraph"/>
              <w:numPr>
                <w:ilvl w:val="0"/>
                <w:numId w:val="5"/>
              </w:numPr>
              <w:shd w:val="clear" w:color="auto" w:fill="FFFFFF"/>
              <w:spacing w:after="0"/>
              <w:rPr>
                <w:rFonts w:eastAsia="Times New Roman" w:cs="Times New Roman"/>
                <w:color w:val="4A4A4A"/>
                <w:sz w:val="21"/>
                <w:szCs w:val="21"/>
                <w:lang w:eastAsia="en-GB"/>
              </w:rPr>
            </w:pPr>
            <w:r w:rsidRPr="00B45110">
              <w:rPr>
                <w:rFonts w:eastAsia="Times New Roman" w:cs="Times New Roman"/>
                <w:color w:val="4A4A4A"/>
                <w:sz w:val="21"/>
                <w:szCs w:val="21"/>
                <w:lang w:eastAsia="en-GB"/>
              </w:rPr>
              <w:t xml:space="preserve">Spatial analysis to delimit the city/urban area </w:t>
            </w:r>
            <w:r w:rsidRPr="00B45110">
              <w:rPr>
                <w:rFonts w:cstheme="minorHAnsi"/>
                <w:color w:val="4A4A4A"/>
                <w:sz w:val="21"/>
                <w:szCs w:val="21"/>
              </w:rPr>
              <w:t xml:space="preserve">which will act as the geographical scope for the spatial analysis and indicator </w:t>
            </w:r>
            <w:r w:rsidR="003402EB" w:rsidRPr="00B45110">
              <w:rPr>
                <w:rFonts w:cstheme="minorHAnsi"/>
                <w:color w:val="4A4A4A"/>
                <w:sz w:val="21"/>
                <w:szCs w:val="21"/>
              </w:rPr>
              <w:t>computation</w:t>
            </w:r>
            <w:r w:rsidR="003402EB" w:rsidRPr="00B45110">
              <w:rPr>
                <w:rFonts w:eastAsia="Times New Roman" w:cs="Times New Roman"/>
                <w:color w:val="4A4A4A"/>
                <w:sz w:val="21"/>
                <w:szCs w:val="21"/>
                <w:lang w:eastAsia="en-GB"/>
              </w:rPr>
              <w:t>;</w:t>
            </w:r>
            <w:r w:rsidR="003402EB">
              <w:rPr>
                <w:rFonts w:eastAsia="Times New Roman" w:cs="Times New Roman"/>
                <w:color w:val="4A4A4A"/>
                <w:sz w:val="21"/>
                <w:szCs w:val="21"/>
                <w:lang w:eastAsia="en-GB"/>
              </w:rPr>
              <w:t xml:space="preserve"> done</w:t>
            </w:r>
            <w:r w:rsidR="005D2A92">
              <w:rPr>
                <w:rFonts w:eastAsia="Times New Roman" w:cs="Times New Roman"/>
                <w:color w:val="4A4A4A"/>
                <w:sz w:val="21"/>
                <w:szCs w:val="21"/>
                <w:lang w:eastAsia="en-GB"/>
              </w:rPr>
              <w:t xml:space="preserve"> using the DEGURBA approach</w:t>
            </w:r>
            <w:r w:rsidR="003402EB">
              <w:rPr>
                <w:rFonts w:eastAsia="Times New Roman" w:cs="Times New Roman"/>
                <w:color w:val="4A4A4A"/>
                <w:sz w:val="21"/>
                <w:szCs w:val="21"/>
                <w:lang w:eastAsia="en-GB"/>
              </w:rPr>
              <w:t>.</w:t>
            </w:r>
            <w:r w:rsidRPr="00B45110">
              <w:rPr>
                <w:rFonts w:eastAsia="Times New Roman" w:cs="Times New Roman"/>
                <w:color w:val="4A4A4A"/>
                <w:sz w:val="21"/>
                <w:szCs w:val="21"/>
                <w:lang w:eastAsia="en-GB"/>
              </w:rPr>
              <w:t xml:space="preserve"> </w:t>
            </w:r>
          </w:p>
          <w:p w14:paraId="6F9FC065" w14:textId="77777777" w:rsidR="004D5A0C" w:rsidRPr="00B45110" w:rsidRDefault="004D5A0C" w:rsidP="004D5A0C">
            <w:pPr>
              <w:pStyle w:val="ListParagraph"/>
              <w:numPr>
                <w:ilvl w:val="0"/>
                <w:numId w:val="5"/>
              </w:numPr>
              <w:shd w:val="clear" w:color="auto" w:fill="FFFFFF"/>
              <w:spacing w:after="0"/>
              <w:rPr>
                <w:rFonts w:eastAsia="Times New Roman" w:cs="Times New Roman"/>
                <w:color w:val="4A4A4A"/>
                <w:sz w:val="21"/>
                <w:szCs w:val="21"/>
                <w:lang w:eastAsia="en-GB"/>
              </w:rPr>
            </w:pPr>
            <w:r w:rsidRPr="00B45110">
              <w:rPr>
                <w:rFonts w:eastAsia="Times New Roman" w:cs="Times New Roman"/>
                <w:color w:val="4A4A4A"/>
                <w:sz w:val="21"/>
                <w:szCs w:val="21"/>
                <w:lang w:eastAsia="en-GB"/>
              </w:rPr>
              <w:t xml:space="preserve">Spatial analysis to identify potential open public spaces, field work to validate data and assess the quality of spaces and calculation of the total area occupied by the verified open public spaces; </w:t>
            </w:r>
          </w:p>
          <w:p w14:paraId="5EA4DC26" w14:textId="77777777" w:rsidR="004D5A0C" w:rsidRPr="00B45110" w:rsidRDefault="004D5A0C" w:rsidP="004D5A0C">
            <w:pPr>
              <w:pStyle w:val="ListParagraph"/>
              <w:numPr>
                <w:ilvl w:val="0"/>
                <w:numId w:val="5"/>
              </w:numPr>
              <w:shd w:val="clear" w:color="auto" w:fill="FFFFFF"/>
              <w:spacing w:after="0"/>
              <w:rPr>
                <w:rFonts w:eastAsia="Times New Roman" w:cs="Times New Roman"/>
                <w:color w:val="4A4A4A"/>
                <w:sz w:val="21"/>
                <w:szCs w:val="21"/>
                <w:lang w:eastAsia="en-GB"/>
              </w:rPr>
            </w:pPr>
            <w:r w:rsidRPr="00B45110">
              <w:rPr>
                <w:rFonts w:eastAsia="Times New Roman" w:cs="Times New Roman"/>
                <w:color w:val="4A4A4A"/>
                <w:sz w:val="21"/>
                <w:szCs w:val="21"/>
                <w:lang w:eastAsia="en-GB"/>
              </w:rPr>
              <w:t>Estimation of the total area allocated to streets;</w:t>
            </w:r>
          </w:p>
          <w:p w14:paraId="31DCA87E" w14:textId="77777777" w:rsidR="007F2D9F" w:rsidRDefault="004D5A0C" w:rsidP="009F305C">
            <w:pPr>
              <w:pStyle w:val="Default"/>
              <w:numPr>
                <w:ilvl w:val="0"/>
                <w:numId w:val="5"/>
              </w:numPr>
              <w:rPr>
                <w:rFonts w:asciiTheme="minorHAnsi" w:hAnsiTheme="minorHAnsi" w:cstheme="minorHAnsi"/>
                <w:color w:val="4A4A4A"/>
                <w:sz w:val="21"/>
                <w:szCs w:val="21"/>
                <w:lang w:val="en-GB"/>
              </w:rPr>
            </w:pPr>
            <w:r w:rsidRPr="00B45110">
              <w:rPr>
                <w:rFonts w:asciiTheme="minorHAnsi" w:hAnsiTheme="minorHAnsi" w:cstheme="minorHAnsi"/>
                <w:color w:val="4A4A4A"/>
                <w:sz w:val="21"/>
                <w:szCs w:val="21"/>
                <w:lang w:val="en-GB"/>
              </w:rPr>
              <w:t xml:space="preserve">Estimation of share of population with access to open public spaces within 400 meters walking distance out of the total population in the city/ urban area and disaggregation of the </w:t>
            </w:r>
            <w:r w:rsidRPr="00B45110">
              <w:rPr>
                <w:color w:val="4A4A4A"/>
                <w:sz w:val="21"/>
                <w:szCs w:val="21"/>
              </w:rPr>
              <w:t xml:space="preserve">population with </w:t>
            </w:r>
            <w:r w:rsidRPr="00B45110">
              <w:rPr>
                <w:rFonts w:asciiTheme="minorHAnsi" w:hAnsiTheme="minorHAnsi" w:cstheme="minorHAnsi"/>
                <w:color w:val="4A4A4A"/>
                <w:sz w:val="21"/>
                <w:szCs w:val="21"/>
                <w:lang w:val="en-GB"/>
              </w:rPr>
              <w:t xml:space="preserve">access by sex, age and persons with </w:t>
            </w:r>
            <w:r w:rsidR="003402EB" w:rsidRPr="00B45110">
              <w:rPr>
                <w:rFonts w:asciiTheme="minorHAnsi" w:hAnsiTheme="minorHAnsi" w:cstheme="minorHAnsi"/>
                <w:color w:val="4A4A4A"/>
                <w:sz w:val="21"/>
                <w:szCs w:val="21"/>
                <w:lang w:val="en-GB"/>
              </w:rPr>
              <w:t>disabilities]</w:t>
            </w:r>
          </w:p>
          <w:p w14:paraId="4D507105" w14:textId="77777777" w:rsidR="00332DFA" w:rsidRPr="00B45110" w:rsidRDefault="00332DFA" w:rsidP="00332DFA">
            <w:pPr>
              <w:pStyle w:val="ListParagraph"/>
              <w:spacing w:after="0"/>
              <w:ind w:left="360"/>
              <w:rPr>
                <w:rFonts w:ascii="Times New Roman" w:hAnsi="Times New Roman" w:cs="Times New Roman"/>
                <w:color w:val="4A4A4A"/>
              </w:rPr>
            </w:pPr>
          </w:p>
          <w:p w14:paraId="220CB232" w14:textId="77777777" w:rsidR="00332DFA" w:rsidRPr="00B45110" w:rsidRDefault="00332DFA" w:rsidP="00332DFA">
            <w:pPr>
              <w:ind w:left="360"/>
              <w:jc w:val="center"/>
              <w:rPr>
                <w:rFonts w:ascii="Times New Roman" w:hAnsi="Times New Roman"/>
                <w:b/>
                <w:color w:val="4A4A4A"/>
              </w:rPr>
            </w:pPr>
            <m:oMathPara>
              <m:oMath>
                <m:r>
                  <m:rPr>
                    <m:sty m:val="b"/>
                  </m:rPr>
                  <w:rPr>
                    <w:rFonts w:ascii="Cambria Math" w:hAnsi="Cambria Math"/>
                    <w:color w:val="4A4A4A"/>
                  </w:rPr>
                  <m:t xml:space="preserve">Share of population with access to open space in public spaces </m:t>
                </m:r>
                <m:d>
                  <m:dPr>
                    <m:ctrlPr>
                      <w:rPr>
                        <w:rFonts w:ascii="Cambria Math" w:hAnsi="Cambria Math"/>
                        <w:b/>
                        <w:color w:val="4A4A4A"/>
                      </w:rPr>
                    </m:ctrlPr>
                  </m:dPr>
                  <m:e>
                    <m:r>
                      <m:rPr>
                        <m:sty m:val="b"/>
                      </m:rPr>
                      <w:rPr>
                        <w:rFonts w:ascii="Cambria Math" w:hAnsi="Cambria Math"/>
                        <w:color w:val="4A4A4A"/>
                      </w:rPr>
                      <m:t>%</m:t>
                    </m:r>
                  </m:e>
                </m:d>
              </m:oMath>
            </m:oMathPara>
          </w:p>
          <w:p w14:paraId="5C1CF8C9" w14:textId="77777777" w:rsidR="00332DFA" w:rsidRPr="00B45110" w:rsidRDefault="00332DFA" w:rsidP="00332DFA">
            <w:pPr>
              <w:ind w:left="360"/>
              <w:rPr>
                <w:b/>
                <w:color w:val="4A4A4A"/>
              </w:rPr>
            </w:pPr>
            <m:oMathPara>
              <m:oMath>
                <m:r>
                  <m:rPr>
                    <m:sty m:val="b"/>
                  </m:rPr>
                  <w:rPr>
                    <w:rFonts w:ascii="Cambria Math" w:hAnsi="Cambria Math"/>
                    <w:color w:val="4A4A4A"/>
                  </w:rPr>
                  <m:t xml:space="preserve">= </m:t>
                </m:r>
                <m:f>
                  <m:fPr>
                    <m:ctrlPr>
                      <w:rPr>
                        <w:rFonts w:ascii="Cambria Math" w:hAnsi="Cambria Math"/>
                        <w:b/>
                        <w:color w:val="4A4A4A"/>
                      </w:rPr>
                    </m:ctrlPr>
                  </m:fPr>
                  <m:num>
                    <m:r>
                      <m:rPr>
                        <m:sty m:val="b"/>
                      </m:rPr>
                      <w:rPr>
                        <w:rFonts w:ascii="Cambria Math" w:hAnsi="Cambria Math"/>
                        <w:color w:val="4A4A4A"/>
                      </w:rPr>
                      <m:t>Total population within 400 m service areas</m:t>
                    </m:r>
                  </m:num>
                  <m:den>
                    <m:r>
                      <m:rPr>
                        <m:sty m:val="b"/>
                      </m:rPr>
                      <w:rPr>
                        <w:rFonts w:ascii="Cambria Math" w:hAnsi="Cambria Math"/>
                        <w:color w:val="4A4A4A"/>
                      </w:rPr>
                      <m:t>Total population within the city/urban extent</m:t>
                    </m:r>
                    <m:r>
                      <w:rPr>
                        <w:rStyle w:val="CommentReference"/>
                        <w:rFonts w:ascii="Cambria Math" w:hAnsi="Cambria Math"/>
                        <w:color w:val="4A4A4A"/>
                      </w:rPr>
                      <m:t xml:space="preserve"> </m:t>
                    </m:r>
                  </m:den>
                </m:f>
              </m:oMath>
            </m:oMathPara>
          </w:p>
          <w:p w14:paraId="5A53B8A7" w14:textId="0975526F" w:rsidR="00332DFA" w:rsidRPr="004D5A0C" w:rsidRDefault="00332DFA" w:rsidP="00332DFA">
            <w:pPr>
              <w:pStyle w:val="Default"/>
              <w:rPr>
                <w:rFonts w:asciiTheme="minorHAnsi" w:hAnsiTheme="minorHAnsi" w:cstheme="minorHAnsi"/>
                <w:color w:val="4A4A4A"/>
                <w:sz w:val="21"/>
                <w:szCs w:val="21"/>
                <w:lang w:val="en-GB"/>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F413FAE" w14:textId="77777777" w:rsidR="00C45F06" w:rsidRDefault="00C45F06" w:rsidP="009F305C">
            <w:r w:rsidRPr="0057524C">
              <w:t>Data compiled is</w:t>
            </w:r>
            <w:r>
              <w:t xml:space="preserve"> </w:t>
            </w:r>
            <w:r w:rsidRPr="0057524C">
              <w:t xml:space="preserve">checked against several criteria including the data sources used, the application of internationally agreed definitions, classification and methodologies to the data from that source, etc. Once reviewed, appropriate feedback is then provided to </w:t>
            </w:r>
            <w:r>
              <w:t xml:space="preserve">stakeholders </w:t>
            </w:r>
            <w:r w:rsidRPr="0057524C">
              <w:t>for further discussion</w:t>
            </w:r>
            <w:r w:rsidR="00655107">
              <w:t>;</w:t>
            </w:r>
          </w:p>
          <w:p w14:paraId="59A9A85C" w14:textId="216D757F" w:rsidR="007F2D9F" w:rsidRPr="009F305C" w:rsidRDefault="00655107" w:rsidP="009F305C">
            <w:r>
              <w:t xml:space="preserve"> </w:t>
            </w:r>
            <w:hyperlink r:id="rId18" w:history="1">
              <w:r w:rsidRPr="003472D9">
                <w:rPr>
                  <w:rStyle w:val="Hyperlink"/>
                </w:rPr>
                <w:t>https://data.unhabitat.org/datasets/template-for-compilation-of-sdg-indicator-11-7-1</w:t>
              </w:r>
            </w:hyperlink>
            <w:r w:rsidRPr="00E87770">
              <w:t>).</w:t>
            </w:r>
            <w:r>
              <w:t xml:space="preserve">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9F29C6C" w:rsidR="007F2D9F" w:rsidRPr="009F305C" w:rsidRDefault="008C3DA3" w:rsidP="009F305C">
            <w:bookmarkStart w:id="25" w:name="_Hlk65062427"/>
            <w:r>
              <w:t>Any adjustments to the data is jointly agreed after consultations with the relevant national agencies that share the data points for reporting</w:t>
            </w:r>
            <w:bookmarkEnd w:id="25"/>
            <w:r>
              <w:t>]</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6A14C90" w:rsidR="007F2D9F" w:rsidRPr="009F305C" w:rsidRDefault="00655107"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7ACEA8A" w14:textId="77777777" w:rsidR="00655107" w:rsidRPr="00DC1A4A" w:rsidRDefault="00655107" w:rsidP="00655107">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detailed tutorial on the indicator computation can be accessed here: </w:t>
            </w:r>
            <w:r w:rsidRPr="0059759E">
              <w:rPr>
                <w:rFonts w:eastAsia="Times New Roman" w:cs="Times New Roman"/>
                <w:color w:val="4A4A4A"/>
                <w:sz w:val="21"/>
                <w:szCs w:val="21"/>
                <w:lang w:eastAsia="en-GB"/>
              </w:rPr>
              <w:t>https://unhabitat.org/sites/default/files/2020/07/indicator_11.7.1_training_module_public_space.pdf</w:t>
            </w:r>
            <w:r>
              <w:rPr>
                <w:rFonts w:eastAsia="Times New Roman" w:cs="Times New Roman"/>
                <w:color w:val="4A4A4A"/>
                <w:sz w:val="21"/>
                <w:szCs w:val="21"/>
                <w:lang w:eastAsia="en-GB"/>
              </w:rPr>
              <w:t>.</w:t>
            </w:r>
          </w:p>
          <w:p w14:paraId="0FAE64E3" w14:textId="77777777" w:rsidR="00655107" w:rsidRDefault="00655107" w:rsidP="00655107">
            <w:pPr>
              <w:pStyle w:val="MText"/>
            </w:pPr>
          </w:p>
          <w:p w14:paraId="0232E6B5" w14:textId="4912BCF6" w:rsidR="007F2D9F" w:rsidRPr="009F305C" w:rsidRDefault="00655107" w:rsidP="00655107">
            <w:pPr>
              <w:pStyle w:val="MText"/>
            </w:pPr>
            <w:r>
              <w:t xml:space="preserve">The guidance on implementation of the National Sample of Cities Approach is available here: </w:t>
            </w:r>
            <w:hyperlink r:id="rId19" w:history="1">
              <w:r w:rsidRPr="00917104">
                <w:rPr>
                  <w:rStyle w:val="Hyperlink"/>
                </w:rPr>
                <w:t>https://unhabitat.org/sites/default/files/2020/06/national_sample_of_cities_english.pdf</w:t>
              </w:r>
            </w:hyperlink>
            <w:r>
              <w:rPr>
                <w:rStyle w:val="Hyperlink"/>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8F6AB45" w14:textId="77777777" w:rsidR="0057032F" w:rsidRDefault="0097367B" w:rsidP="0097367B">
            <w:pPr>
              <w:pStyle w:val="MText"/>
            </w:pPr>
            <w:r>
              <w:t xml:space="preserve">To ensure consistency in data production across countries, UN-Habitat has developed detailed step-by-step tutorials on the computation of indicator 11.7.1, which further explain the steps presented in this metadata. The detailed tutorials, which will be continuously updated are available at </w:t>
            </w:r>
          </w:p>
          <w:p w14:paraId="5E5C8C50" w14:textId="77777777" w:rsidR="0057032F" w:rsidRDefault="0057032F" w:rsidP="0097367B">
            <w:pPr>
              <w:pStyle w:val="MText"/>
            </w:pPr>
          </w:p>
          <w:p w14:paraId="55C13BD5" w14:textId="14D972A6" w:rsidR="0097367B" w:rsidRDefault="00000000" w:rsidP="0097367B">
            <w:pPr>
              <w:pStyle w:val="MText"/>
            </w:pPr>
            <w:hyperlink r:id="rId20" w:history="1">
              <w:r w:rsidR="0057032F" w:rsidRPr="00FC1A6E">
                <w:rPr>
                  <w:rStyle w:val="Hyperlink"/>
                </w:rPr>
                <w:t>https://unhabitat.org/knowledge/data-and-analytics</w:t>
              </w:r>
            </w:hyperlink>
            <w:r w:rsidR="0097367B">
              <w:t xml:space="preserve">, </w:t>
            </w:r>
            <w:hyperlink r:id="rId21" w:history="1">
              <w:r w:rsidR="0097367B" w:rsidRPr="00917104">
                <w:rPr>
                  <w:rStyle w:val="Hyperlink"/>
                </w:rPr>
                <w:t>https://www.urbanagendaplatform.org/learning</w:t>
              </w:r>
            </w:hyperlink>
            <w:r w:rsidR="0097367B">
              <w:t xml:space="preserve">, and </w:t>
            </w:r>
            <w:hyperlink r:id="rId22" w:history="1">
              <w:r w:rsidR="0097367B" w:rsidRPr="00917104">
                <w:rPr>
                  <w:rStyle w:val="Hyperlink"/>
                </w:rPr>
                <w:t>https://data.unhabitat.org/</w:t>
              </w:r>
            </w:hyperlink>
            <w:r w:rsidR="0097367B">
              <w:t xml:space="preserve">. </w:t>
            </w:r>
          </w:p>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5508FD1" w:rsidR="007F2D9F" w:rsidRPr="009F305C" w:rsidRDefault="0057032F" w:rsidP="009F305C">
            <w:r>
              <w:t>The Bureau adheres to Kenya Statistical Quality Assurance Framework (KeSQAF) that ensures statistics produced meets the need of the users]</w:t>
            </w:r>
            <w:r w:rsidR="0097367B" w:rsidRPr="00F4651C">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1569E42" w:rsidR="007F2D9F" w:rsidRPr="009F305C" w:rsidRDefault="0057032F" w:rsidP="009F305C">
            <w:r>
              <w:t>In adherence to the ISO 9001:2015 requirements the Bureau carries out its own internal audits based on KeSQAF Guidelines that ensures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E66AE0" w14:textId="77777777" w:rsidR="0097367B" w:rsidRPr="00BA7603" w:rsidRDefault="0097367B" w:rsidP="0097367B">
            <w:pPr>
              <w:pStyle w:val="MText"/>
              <w:rPr>
                <w:b/>
                <w:bCs/>
              </w:rPr>
            </w:pPr>
            <w:r w:rsidRPr="00BA7603">
              <w:rPr>
                <w:b/>
                <w:bCs/>
              </w:rPr>
              <w:t>Disaggregation:</w:t>
            </w:r>
          </w:p>
          <w:p w14:paraId="79CE25C4" w14:textId="433783DA" w:rsidR="00661F9A" w:rsidRDefault="00661F9A" w:rsidP="00661F9A">
            <w:r>
              <w:t>Data is available at KNBS and other state agencies such as the Kenya Space Agency (KSA),Directorate of Resource Surveys and Remote Sensing and Urban Development Department</w:t>
            </w:r>
            <w:r w:rsidR="00F36397">
              <w:t>(UDD)</w:t>
            </w:r>
            <w:r>
              <w:t>]</w:t>
            </w:r>
          </w:p>
          <w:p w14:paraId="39185D77" w14:textId="748BD280" w:rsidR="00776312" w:rsidRPr="00661F9A" w:rsidRDefault="00661F9A" w:rsidP="00661F9A">
            <w:pPr>
              <w:shd w:val="clear" w:color="auto" w:fill="FFFFFF"/>
              <w:spacing w:after="0"/>
              <w:rPr>
                <w:rFonts w:eastAsia="Times New Roman" w:cs="Times New Roman"/>
                <w:color w:val="4A4A4A"/>
                <w:sz w:val="21"/>
                <w:szCs w:val="21"/>
                <w:lang w:eastAsia="en-GB"/>
              </w:rPr>
            </w:pPr>
            <w:r>
              <w:t>Disaggregation Not Available</w:t>
            </w:r>
            <w:r w:rsidR="0097367B" w:rsidRPr="00661F9A">
              <w:rPr>
                <w:rFonts w:eastAsia="Times New Roman" w:cs="Times New Roman"/>
                <w:color w:val="4A4A4A"/>
                <w:sz w:val="21"/>
                <w:szCs w:val="21"/>
                <w:lang w:eastAsia="en-GB"/>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3263DB2" w:rsidR="006A7EF1" w:rsidRPr="009F305C" w:rsidRDefault="004F3D39" w:rsidP="009F305C">
            <w:r w:rsidRPr="00CD3D5A">
              <w:t>Significant variations between global and national figures are anticipated</w:t>
            </w:r>
            <w:r>
              <w:t xml:space="preserve"> due to variations in the definitions of open public spaces in cities across the world</w:t>
            </w:r>
            <w:r w:rsidR="00050D56">
              <w:rPr>
                <w:rFonts w:eastAsia="Times New Roman" w:cs="Times New Roman"/>
                <w:color w:val="4A4A4A"/>
                <w:sz w:val="21"/>
                <w:szCs w:val="21"/>
                <w:lang w:eastAsia="en-GB"/>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5295684" w14:textId="555423EC" w:rsidR="00050D56" w:rsidRPr="00050D56" w:rsidRDefault="00000000" w:rsidP="00050D56">
            <w:pPr>
              <w:rPr>
                <w:sz w:val="21"/>
                <w:szCs w:val="21"/>
              </w:rPr>
            </w:pPr>
            <w:hyperlink r:id="rId23" w:history="1">
              <w:r w:rsidR="00560453" w:rsidRPr="00FC1A6E">
                <w:rPr>
                  <w:rStyle w:val="Hyperlink"/>
                </w:rPr>
                <w:t>https://unhabitat.org/sites/default/files/2020/07/indicator_11.7.1_training_module_public_space.pdf</w:t>
              </w:r>
            </w:hyperlink>
            <w:r w:rsidR="00050D56" w:rsidRPr="00050D56">
              <w:rPr>
                <w:sz w:val="21"/>
                <w:szCs w:val="21"/>
              </w:rPr>
              <w:t xml:space="preserve"> </w:t>
            </w:r>
          </w:p>
          <w:p w14:paraId="127FB56F" w14:textId="440A6970" w:rsidR="006F104C" w:rsidRPr="009F305C" w:rsidRDefault="00000000" w:rsidP="009F305C">
            <w:hyperlink r:id="rId24" w:history="1">
              <w:r w:rsidR="00560453" w:rsidRPr="00917104">
                <w:rPr>
                  <w:rStyle w:val="Hyperlink"/>
                </w:rPr>
                <w:t>https://unhabitat.org/sites/default/files/2020/06/national_sample_of_cities_english.pdf</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A9B973" w14:textId="77777777" w:rsidR="00F30A40" w:rsidRDefault="00F30A40" w:rsidP="006B0512">
      <w:pPr>
        <w:spacing w:after="0" w:line="240" w:lineRule="auto"/>
      </w:pPr>
      <w:r>
        <w:separator/>
      </w:r>
    </w:p>
  </w:endnote>
  <w:endnote w:type="continuationSeparator" w:id="0">
    <w:p w14:paraId="6D6E8578" w14:textId="77777777" w:rsidR="00F30A40" w:rsidRDefault="00F30A4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D22201D" w:rsidR="00EF453F" w:rsidRDefault="00EF453F">
        <w:pPr>
          <w:pStyle w:val="Footer"/>
          <w:jc w:val="right"/>
        </w:pPr>
        <w:r>
          <w:fldChar w:fldCharType="begin"/>
        </w:r>
        <w:r>
          <w:instrText xml:space="preserve"> PAGE   \* MERGEFORMAT </w:instrText>
        </w:r>
        <w:r>
          <w:fldChar w:fldCharType="separate"/>
        </w:r>
        <w:r w:rsidR="00CA1CE9">
          <w:rPr>
            <w:noProof/>
          </w:rPr>
          <w:t>10</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345BB98F" w:rsidR="00EF453F" w:rsidRDefault="00EF453F">
        <w:pPr>
          <w:pStyle w:val="Footer"/>
          <w:jc w:val="right"/>
        </w:pPr>
        <w:r>
          <w:fldChar w:fldCharType="begin"/>
        </w:r>
        <w:r>
          <w:instrText xml:space="preserve"> PAGE   \* MERGEFORMAT </w:instrText>
        </w:r>
        <w:r>
          <w:fldChar w:fldCharType="separate"/>
        </w:r>
        <w:r w:rsidR="00CA1CE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846B70F" w14:textId="77777777" w:rsidR="00F30A40" w:rsidRDefault="00F30A40" w:rsidP="006B0512">
      <w:pPr>
        <w:spacing w:after="0" w:line="240" w:lineRule="auto"/>
      </w:pPr>
      <w:r>
        <w:separator/>
      </w:r>
    </w:p>
  </w:footnote>
  <w:footnote w:type="continuationSeparator" w:id="0">
    <w:p w14:paraId="4C467CE8" w14:textId="77777777" w:rsidR="00F30A40" w:rsidRDefault="00F30A40"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5896497"/>
    <w:multiLevelType w:val="hybridMultilevel"/>
    <w:tmpl w:val="9920E02A"/>
    <w:lvl w:ilvl="0" w:tplc="08090001">
      <w:start w:val="1"/>
      <w:numFmt w:val="bullet"/>
      <w:lvlText w:val=""/>
      <w:lvlJc w:val="left"/>
      <w:pPr>
        <w:ind w:left="360" w:hanging="360"/>
      </w:pPr>
      <w:rPr>
        <w:rFonts w:ascii="Symbol" w:hAnsi="Symbol"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4A003954"/>
    <w:multiLevelType w:val="hybridMultilevel"/>
    <w:tmpl w:val="1BDC073C"/>
    <w:lvl w:ilvl="0" w:tplc="08090017">
      <w:start w:val="1"/>
      <w:numFmt w:val="low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0024FD"/>
    <w:multiLevelType w:val="hybridMultilevel"/>
    <w:tmpl w:val="2EE2FCAA"/>
    <w:lvl w:ilvl="0" w:tplc="6B168F86">
      <w:numFmt w:val="bullet"/>
      <w:lvlText w:val="•"/>
      <w:lvlJc w:val="left"/>
      <w:pPr>
        <w:ind w:left="1440" w:hanging="360"/>
      </w:pPr>
      <w:rPr>
        <w:rFonts w:ascii="Calibri" w:eastAsia="Times New Roman" w:hAnsi="Calibri" w:cs="Calibri"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num w:numId="1" w16cid:durableId="2007320060">
    <w:abstractNumId w:val="4"/>
  </w:num>
  <w:num w:numId="2" w16cid:durableId="102654046">
    <w:abstractNumId w:val="0"/>
  </w:num>
  <w:num w:numId="3" w16cid:durableId="591546186">
    <w:abstractNumId w:val="5"/>
  </w:num>
  <w:num w:numId="4" w16cid:durableId="673654982">
    <w:abstractNumId w:val="1"/>
  </w:num>
  <w:num w:numId="5" w16cid:durableId="1135492390">
    <w:abstractNumId w:val="3"/>
  </w:num>
  <w:num w:numId="6" w16cid:durableId="351997420">
    <w:abstractNumId w:val="6"/>
  </w:num>
  <w:num w:numId="7" w16cid:durableId="87596498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0D56"/>
    <w:rsid w:val="000639BB"/>
    <w:rsid w:val="000716CF"/>
    <w:rsid w:val="00073907"/>
    <w:rsid w:val="00091352"/>
    <w:rsid w:val="0009691A"/>
    <w:rsid w:val="00097108"/>
    <w:rsid w:val="000A24C4"/>
    <w:rsid w:val="000B1F92"/>
    <w:rsid w:val="000B6681"/>
    <w:rsid w:val="000C14D0"/>
    <w:rsid w:val="000C5C8D"/>
    <w:rsid w:val="000C6D3A"/>
    <w:rsid w:val="000D0DC2"/>
    <w:rsid w:val="000E4EFE"/>
    <w:rsid w:val="000F3B8E"/>
    <w:rsid w:val="001034ED"/>
    <w:rsid w:val="00106632"/>
    <w:rsid w:val="001127E6"/>
    <w:rsid w:val="00120A80"/>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42DDC"/>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2DFA"/>
    <w:rsid w:val="003402EB"/>
    <w:rsid w:val="00344199"/>
    <w:rsid w:val="003514F3"/>
    <w:rsid w:val="00352386"/>
    <w:rsid w:val="0035311B"/>
    <w:rsid w:val="00355460"/>
    <w:rsid w:val="00372D21"/>
    <w:rsid w:val="00380958"/>
    <w:rsid w:val="003812B1"/>
    <w:rsid w:val="0039535F"/>
    <w:rsid w:val="003A3746"/>
    <w:rsid w:val="003B1388"/>
    <w:rsid w:val="003B3C76"/>
    <w:rsid w:val="003C3FF7"/>
    <w:rsid w:val="003E117E"/>
    <w:rsid w:val="003E7389"/>
    <w:rsid w:val="003E7F33"/>
    <w:rsid w:val="00406983"/>
    <w:rsid w:val="00413337"/>
    <w:rsid w:val="0041350B"/>
    <w:rsid w:val="00416A6D"/>
    <w:rsid w:val="00417B9F"/>
    <w:rsid w:val="00423E0B"/>
    <w:rsid w:val="00430958"/>
    <w:rsid w:val="00431B2F"/>
    <w:rsid w:val="00433D18"/>
    <w:rsid w:val="00454568"/>
    <w:rsid w:val="00462DB8"/>
    <w:rsid w:val="00463306"/>
    <w:rsid w:val="00470BED"/>
    <w:rsid w:val="00474834"/>
    <w:rsid w:val="0048556F"/>
    <w:rsid w:val="00490C58"/>
    <w:rsid w:val="004962C5"/>
    <w:rsid w:val="004A31AD"/>
    <w:rsid w:val="004C06A8"/>
    <w:rsid w:val="004C665C"/>
    <w:rsid w:val="004D5A0C"/>
    <w:rsid w:val="004D6154"/>
    <w:rsid w:val="004D68B6"/>
    <w:rsid w:val="004E3F4C"/>
    <w:rsid w:val="004E40E0"/>
    <w:rsid w:val="004E5702"/>
    <w:rsid w:val="004E5E1A"/>
    <w:rsid w:val="004F3D39"/>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453"/>
    <w:rsid w:val="00560EB1"/>
    <w:rsid w:val="0057032F"/>
    <w:rsid w:val="00571DE4"/>
    <w:rsid w:val="005803B3"/>
    <w:rsid w:val="00581C4A"/>
    <w:rsid w:val="00581D14"/>
    <w:rsid w:val="005966A8"/>
    <w:rsid w:val="005A595A"/>
    <w:rsid w:val="005B293A"/>
    <w:rsid w:val="005B657A"/>
    <w:rsid w:val="005C091C"/>
    <w:rsid w:val="005C570B"/>
    <w:rsid w:val="005C76A1"/>
    <w:rsid w:val="005D2A92"/>
    <w:rsid w:val="005F5729"/>
    <w:rsid w:val="005F7B42"/>
    <w:rsid w:val="00604A6A"/>
    <w:rsid w:val="00611159"/>
    <w:rsid w:val="0061331D"/>
    <w:rsid w:val="00633477"/>
    <w:rsid w:val="00643134"/>
    <w:rsid w:val="006459EE"/>
    <w:rsid w:val="00655107"/>
    <w:rsid w:val="006560A4"/>
    <w:rsid w:val="00661F9A"/>
    <w:rsid w:val="0068379D"/>
    <w:rsid w:val="00693674"/>
    <w:rsid w:val="006A7EF1"/>
    <w:rsid w:val="006B0512"/>
    <w:rsid w:val="006B3527"/>
    <w:rsid w:val="006C075C"/>
    <w:rsid w:val="006C6768"/>
    <w:rsid w:val="006C783E"/>
    <w:rsid w:val="006E1A7D"/>
    <w:rsid w:val="006E7EA5"/>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6771"/>
    <w:rsid w:val="007C2733"/>
    <w:rsid w:val="007C63C4"/>
    <w:rsid w:val="007D7476"/>
    <w:rsid w:val="007D7D50"/>
    <w:rsid w:val="007E4EE0"/>
    <w:rsid w:val="007F2D9F"/>
    <w:rsid w:val="007F5448"/>
    <w:rsid w:val="007F6520"/>
    <w:rsid w:val="00806D18"/>
    <w:rsid w:val="00810C60"/>
    <w:rsid w:val="008169AD"/>
    <w:rsid w:val="00851DF8"/>
    <w:rsid w:val="008521A2"/>
    <w:rsid w:val="00856AD6"/>
    <w:rsid w:val="00880D5A"/>
    <w:rsid w:val="008A7300"/>
    <w:rsid w:val="008C141D"/>
    <w:rsid w:val="008C3DA3"/>
    <w:rsid w:val="008D775E"/>
    <w:rsid w:val="008E09AA"/>
    <w:rsid w:val="008E4413"/>
    <w:rsid w:val="008E4D2D"/>
    <w:rsid w:val="008E6037"/>
    <w:rsid w:val="008F0F40"/>
    <w:rsid w:val="00911199"/>
    <w:rsid w:val="009165F2"/>
    <w:rsid w:val="00936027"/>
    <w:rsid w:val="009367AA"/>
    <w:rsid w:val="0095215C"/>
    <w:rsid w:val="0095217A"/>
    <w:rsid w:val="00952376"/>
    <w:rsid w:val="00954FBE"/>
    <w:rsid w:val="00957C60"/>
    <w:rsid w:val="00964097"/>
    <w:rsid w:val="00970B70"/>
    <w:rsid w:val="00970E8E"/>
    <w:rsid w:val="00971FA7"/>
    <w:rsid w:val="00972E38"/>
    <w:rsid w:val="0097367B"/>
    <w:rsid w:val="009739C8"/>
    <w:rsid w:val="00975BAF"/>
    <w:rsid w:val="009A5BA4"/>
    <w:rsid w:val="009C422F"/>
    <w:rsid w:val="009D6291"/>
    <w:rsid w:val="009D6F69"/>
    <w:rsid w:val="009E049D"/>
    <w:rsid w:val="009E5D6E"/>
    <w:rsid w:val="009F305C"/>
    <w:rsid w:val="00A167C6"/>
    <w:rsid w:val="00A200D3"/>
    <w:rsid w:val="00A242D8"/>
    <w:rsid w:val="00A3532A"/>
    <w:rsid w:val="00A35656"/>
    <w:rsid w:val="00A36E8B"/>
    <w:rsid w:val="00A4314D"/>
    <w:rsid w:val="00A5114C"/>
    <w:rsid w:val="00A542BA"/>
    <w:rsid w:val="00A64C04"/>
    <w:rsid w:val="00A67357"/>
    <w:rsid w:val="00A804A0"/>
    <w:rsid w:val="00A91915"/>
    <w:rsid w:val="00A92C73"/>
    <w:rsid w:val="00AA38A9"/>
    <w:rsid w:val="00AB65AE"/>
    <w:rsid w:val="00AD26C4"/>
    <w:rsid w:val="00AE7A74"/>
    <w:rsid w:val="00AF2FE1"/>
    <w:rsid w:val="00B137EE"/>
    <w:rsid w:val="00B13CEC"/>
    <w:rsid w:val="00B3775E"/>
    <w:rsid w:val="00B52788"/>
    <w:rsid w:val="00B66AF3"/>
    <w:rsid w:val="00B71AEA"/>
    <w:rsid w:val="00B74489"/>
    <w:rsid w:val="00B8102F"/>
    <w:rsid w:val="00B818CA"/>
    <w:rsid w:val="00B97297"/>
    <w:rsid w:val="00B979B1"/>
    <w:rsid w:val="00BA1F01"/>
    <w:rsid w:val="00BA71B8"/>
    <w:rsid w:val="00BB553B"/>
    <w:rsid w:val="00BD7158"/>
    <w:rsid w:val="00C057EA"/>
    <w:rsid w:val="00C05B22"/>
    <w:rsid w:val="00C141AF"/>
    <w:rsid w:val="00C175B6"/>
    <w:rsid w:val="00C210B4"/>
    <w:rsid w:val="00C22A2E"/>
    <w:rsid w:val="00C45F06"/>
    <w:rsid w:val="00C47725"/>
    <w:rsid w:val="00C605D4"/>
    <w:rsid w:val="00C94E79"/>
    <w:rsid w:val="00CA1CE9"/>
    <w:rsid w:val="00CA6252"/>
    <w:rsid w:val="00CA7FA5"/>
    <w:rsid w:val="00CB7B0D"/>
    <w:rsid w:val="00CC5969"/>
    <w:rsid w:val="00CD4533"/>
    <w:rsid w:val="00CF21EA"/>
    <w:rsid w:val="00CF4869"/>
    <w:rsid w:val="00CF504E"/>
    <w:rsid w:val="00D12D35"/>
    <w:rsid w:val="00D15AD5"/>
    <w:rsid w:val="00D165CA"/>
    <w:rsid w:val="00D17114"/>
    <w:rsid w:val="00D2485A"/>
    <w:rsid w:val="00D31F93"/>
    <w:rsid w:val="00D44269"/>
    <w:rsid w:val="00D51841"/>
    <w:rsid w:val="00D51E6C"/>
    <w:rsid w:val="00D53FC5"/>
    <w:rsid w:val="00D6461B"/>
    <w:rsid w:val="00D815D9"/>
    <w:rsid w:val="00D855E8"/>
    <w:rsid w:val="00D95F90"/>
    <w:rsid w:val="00DA69E7"/>
    <w:rsid w:val="00DB1DCD"/>
    <w:rsid w:val="00DC4AE7"/>
    <w:rsid w:val="00DD4950"/>
    <w:rsid w:val="00DE10A6"/>
    <w:rsid w:val="00DF05C4"/>
    <w:rsid w:val="00DF78A7"/>
    <w:rsid w:val="00E013EF"/>
    <w:rsid w:val="00E07CA1"/>
    <w:rsid w:val="00E150A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678"/>
    <w:rsid w:val="00F02B1E"/>
    <w:rsid w:val="00F07040"/>
    <w:rsid w:val="00F2310E"/>
    <w:rsid w:val="00F30A40"/>
    <w:rsid w:val="00F36397"/>
    <w:rsid w:val="00F54570"/>
    <w:rsid w:val="00F75853"/>
    <w:rsid w:val="00F7784D"/>
    <w:rsid w:val="00F8144F"/>
    <w:rsid w:val="00F8462A"/>
    <w:rsid w:val="00F862A7"/>
    <w:rsid w:val="00F93763"/>
    <w:rsid w:val="00F939A2"/>
    <w:rsid w:val="00F96E8D"/>
    <w:rsid w:val="00FA20D9"/>
    <w:rsid w:val="00FB03D0"/>
    <w:rsid w:val="00FD54D7"/>
    <w:rsid w:val="00FF642D"/>
    <w:rsid w:val="00FF6D2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15D744A8-8634-4EA1-8134-68C756ACE3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65510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data.unhabitat.org/datasets/template-for-compilation-of-sdg-indicator-11-7-1" TargetMode="Externa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s://www.urbanagendaplatform.org/learn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s@knbs.or.ke"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unhabitat.org/knowledge/data-and-analytics"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unhabitat.org/sites/default/files/2020/06/national_sample_of_cities_english.pdf" TargetMode="Externa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s://unhabitat.org/sites/default/files/2020/07/indicator_11.7.1_training_module_public_space.pdf"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habitat.org/sites/default/files/2020/06/national_sample_of_cities_english.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data.unhabitat.org/"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52618"/>
    <w:rsid w:val="00296525"/>
    <w:rsid w:val="0036646D"/>
    <w:rsid w:val="004F4479"/>
    <w:rsid w:val="005B260C"/>
    <w:rsid w:val="005D1A84"/>
    <w:rsid w:val="006153AA"/>
    <w:rsid w:val="0064052E"/>
    <w:rsid w:val="00760A1F"/>
    <w:rsid w:val="00C846FD"/>
    <w:rsid w:val="00C84D33"/>
    <w:rsid w:val="00DA061B"/>
    <w:rsid w:val="00DD5544"/>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E492C03-2AF8-B043-913A-201D9ED3C3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332</TotalTime>
  <Pages>13</Pages>
  <Words>216665</Words>
  <Characters>1234996</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39</cp:revision>
  <cp:lastPrinted>2020-04-16T14:23:00Z</cp:lastPrinted>
  <dcterms:created xsi:type="dcterms:W3CDTF">2023-12-18T08:16:00Z</dcterms:created>
  <dcterms:modified xsi:type="dcterms:W3CDTF">2024-05-06T10:54:00Z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