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B20C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B20C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B20C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B20C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B20C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B20C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B20C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B20C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B20C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B20C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B20C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B20C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B20C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6AB8F74E" w:rsidR="00355460" w:rsidRPr="00E263EC" w:rsidRDefault="00FB20C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0ADBF134" w:rsidR="00B66AF3" w:rsidRDefault="00B34F11" w:rsidP="00B66AF3">
          <w:r>
            <w:t>5.a.1 Proportion of total agricultural population with ownership or secure rights over agricultural land [5.a.1] (SP_LGL_LNDAGSEC)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2E5444C" w:rsidR="00FD54D7" w:rsidRDefault="00082367" w:rsidP="002806B7">
      <w:pPr>
        <w:spacing w:after="0"/>
        <w:rPr>
          <w:sz w:val="26"/>
          <w:szCs w:val="26"/>
        </w:rPr>
      </w:pPr>
      <w:r>
        <w:rPr>
          <w:noProof/>
          <w:sz w:val="26"/>
          <w:szCs w:val="26"/>
        </w:rPr>
        <w:drawing>
          <wp:inline distT="0" distB="0" distL="0" distR="0" wp14:anchorId="0620FBD8" wp14:editId="1A8D1EDA">
            <wp:extent cx="914400" cy="302260"/>
            <wp:effectExtent l="0" t="0" r="0" b="2540"/>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226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0443FE8D">
            <wp:extent cx="1167765" cy="302260"/>
            <wp:effectExtent l="0" t="0" r="0" b="2540"/>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7765" cy="30226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28E41172" w:rsidR="0077584C" w:rsidRDefault="00B34F11"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2A5E3E43" w:rsidR="00F7784D" w:rsidRDefault="00B34F11"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F37A4F1" w:rsidR="00F54570" w:rsidRDefault="00082367" w:rsidP="00355460">
      <w:r>
        <w:rPr>
          <w:noProof/>
        </w:rPr>
        <w:drawing>
          <wp:inline distT="0" distB="0" distL="0" distR="0" wp14:anchorId="196EDF24" wp14:editId="291329CF">
            <wp:extent cx="1779905" cy="302260"/>
            <wp:effectExtent l="0" t="0" r="0" b="254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9905" cy="302260"/>
                    </a:xfrm>
                    <a:prstGeom prst="rect">
                      <a:avLst/>
                    </a:prstGeom>
                    <a:noFill/>
                    <a:ln>
                      <a:noFill/>
                    </a:ln>
                  </pic:spPr>
                </pic:pic>
              </a:graphicData>
            </a:graphic>
          </wp:inline>
        </w:drawing>
      </w:r>
      <w:r w:rsidR="003E117E">
        <w:t xml:space="preserve">             </w:t>
      </w:r>
      <w:r>
        <w:rPr>
          <w:noProof/>
        </w:rPr>
        <w:drawing>
          <wp:inline distT="0" distB="0" distL="0" distR="0" wp14:anchorId="3CF05049" wp14:editId="5FCA9FF5">
            <wp:extent cx="2539365" cy="302260"/>
            <wp:effectExtent l="0" t="0" r="0" b="254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9365" cy="302260"/>
                    </a:xfrm>
                    <a:prstGeom prst="rect">
                      <a:avLst/>
                    </a:prstGeom>
                    <a:noFill/>
                    <a:ln>
                      <a:noFill/>
                    </a:ln>
                  </pic:spPr>
                </pic:pic>
              </a:graphicData>
            </a:graphic>
          </wp:inline>
        </w:drawing>
      </w:r>
    </w:p>
    <w:sdt>
      <w:sdtPr>
        <w:rPr>
          <w:vanish/>
        </w:rPr>
        <w:alias w:val="Imported SDMX DSD"/>
        <w:tag w:val="boxSdmxDsd"/>
        <w:id w:val="-1489243057"/>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8652180" w:rsidR="005377B9" w:rsidRPr="009F305C" w:rsidRDefault="00FB20CC" w:rsidP="009F305C">
            <w:r>
              <w:t>Goal 16: Promote peaceful and inclusive societies for sustainable development, provide access to justice for all and build effective, accountable and inclusive institutions at all levels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87C4DD4" w:rsidR="005377B9" w:rsidRPr="009C3987" w:rsidRDefault="00B34F11" w:rsidP="00B34F11">
            <w:pPr>
              <w:pStyle w:val="MGTHeader"/>
              <w:rPr>
                <w:rFonts w:ascii="Calibri" w:hAnsi="Calibri"/>
                <w:sz w:val="22"/>
                <w:szCs w:val="22"/>
              </w:rPr>
            </w:pPr>
            <w:r w:rsidRPr="009C3987">
              <w:rPr>
                <w:rFonts w:ascii="Calibri" w:hAnsi="Calibri"/>
                <w:sz w:val="22"/>
                <w:szCs w:val="22"/>
              </w:rPr>
              <w:t xml:space="preserve">Target </w:t>
            </w:r>
            <w:r w:rsidR="00FB20CC">
              <w:t>16.3 Promote the rule of law at the national and international levels and ensure equal access to justice for all</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1FF52601" w:rsidR="005377B9" w:rsidRPr="009C3987" w:rsidRDefault="00E832EA" w:rsidP="00E832EA">
            <w:pPr>
              <w:pStyle w:val="MGTHeader"/>
              <w:rPr>
                <w:rFonts w:ascii="Calibri" w:hAnsi="Calibri"/>
                <w:sz w:val="22"/>
                <w:szCs w:val="22"/>
              </w:rPr>
            </w:pPr>
            <w:r w:rsidRPr="009C3987">
              <w:rPr>
                <w:rFonts w:ascii="Calibri" w:hAnsi="Calibri"/>
                <w:sz w:val="22"/>
                <w:szCs w:val="22"/>
              </w:rPr>
              <w:t xml:space="preserve">Indicator </w:t>
            </w:r>
            <w:r w:rsidR="00FB20CC" w:rsidRPr="00F731EC">
              <w:t>16.3.3</w:t>
            </w:r>
            <w:r w:rsidR="00FB20CC">
              <w:t>:</w:t>
            </w:r>
            <w:r w:rsidR="00FB20CC" w:rsidRPr="00F731EC">
              <w:t xml:space="preserve"> Proportion of the population who have experienced a dispute in the past two years and who accessed a formal or informal dispute resolution mechanism, by type of mechanism Proportion of the population who have experienced a dispute in the past two years and who accessed a formal or informal dispute resolution mechanism, by type of mechanism</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087E5D2" w:rsidR="005377B9" w:rsidRPr="009C3987"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C68629B" w:rsidR="005377B9" w:rsidRPr="009C3987" w:rsidRDefault="003D2D62" w:rsidP="009F305C">
            <w:r w:rsidRPr="009C3987">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256BD7D8" w:rsidR="005377B9" w:rsidRPr="009C3987" w:rsidRDefault="00FB20CC" w:rsidP="009F305C">
            <w:r>
              <w:t>16.5, 16.6, 16.9, 4.5, 5.1, 8.5, 8.8, 10.3</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2F4354D6" w:rsidR="005377B9" w:rsidRPr="009C3987" w:rsidRDefault="00FB20CC" w:rsidP="009F305C">
            <w:r>
              <w:t xml:space="preserve">United Nations Development </w:t>
            </w:r>
            <w:proofErr w:type="spellStart"/>
            <w:r>
              <w:t>Programme</w:t>
            </w:r>
            <w:proofErr w:type="spellEnd"/>
            <w:r>
              <w:t xml:space="preserve"> (UNDP), United Nations Office on Drugs and Crime (UNODC) and Organization for Economic Cooperation and Development (OECD)</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175468B" w:rsidR="003E7389" w:rsidRPr="009F305C" w:rsidRDefault="00465950"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C91887B" w:rsidR="003E7389" w:rsidRPr="009F305C" w:rsidRDefault="00C309C0" w:rsidP="009F305C">
            <w:r>
              <w:t>Senior Manager, Social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4640A55" w:rsidR="003E7389" w:rsidRPr="009F305C" w:rsidRDefault="00C309C0" w:rsidP="00E7517D">
            <w:r>
              <w:t>Social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6A8ABBD4" w14:textId="77777777" w:rsidR="00C309C0" w:rsidRPr="00CB68F8" w:rsidRDefault="00C309C0" w:rsidP="00C309C0">
            <w:pPr>
              <w:spacing w:after="0" w:line="278" w:lineRule="auto"/>
              <w:jc w:val="both"/>
            </w:pPr>
            <w:r w:rsidRPr="00CB68F8">
              <w:t>Collect, compile, analyze and disseminate statistics on governance,</w:t>
            </w:r>
            <w:r>
              <w:t xml:space="preserve"> peace and security;</w:t>
            </w:r>
          </w:p>
          <w:p w14:paraId="3CEF0A90" w14:textId="6754A228" w:rsidR="003E7389" w:rsidRPr="009F305C" w:rsidRDefault="00C309C0" w:rsidP="00C309C0">
            <w:r w:rsidRPr="00CB68F8">
              <w:t>gender, education and health.</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29A801F" w:rsidR="003E7389" w:rsidRPr="009F305C" w:rsidRDefault="00582944" w:rsidP="009F305C">
            <w:r>
              <w:t>+254735004401, +254202911000,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5EADEE3" w:rsidR="003E7389" w:rsidRPr="009F305C" w:rsidRDefault="00582944" w:rsidP="009F305C">
            <w:r>
              <w:t>P.O. BOX 30266-00100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EFC8453" w:rsidR="003E7389" w:rsidRPr="009F305C" w:rsidRDefault="00BA539B" w:rsidP="009F305C">
            <w:r>
              <w:t>dp</w:t>
            </w:r>
            <w:r w:rsidR="00C309C0">
              <w:t>s</w:t>
            </w:r>
            <w:r>
              <w:t>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E08E140" w14:textId="77777777" w:rsidR="002E5095" w:rsidRDefault="002E5095" w:rsidP="002E5095">
            <w:pPr>
              <w:shd w:val="clear" w:color="auto" w:fill="FFFFFF"/>
              <w:spacing w:before="180" w:after="0"/>
              <w:rPr>
                <w:color w:val="4A4A4A"/>
              </w:rPr>
            </w:pPr>
            <w:r>
              <w:rPr>
                <w:b/>
                <w:color w:val="4A4A4A"/>
              </w:rPr>
              <w:t xml:space="preserve">Definition: </w:t>
            </w:r>
            <w:r>
              <w:rPr>
                <w:color w:val="4A4A4A"/>
              </w:rPr>
              <w:t>The number of people who experienced dispute and accessed a formal or informal dispute resolution mechanism, as a percentage of all those who experienced a dispute by type of mechanism.</w:t>
            </w:r>
          </w:p>
          <w:p w14:paraId="75B6185B" w14:textId="77777777" w:rsidR="002E5095" w:rsidRDefault="002E5095" w:rsidP="002E5095">
            <w:pPr>
              <w:shd w:val="clear" w:color="auto" w:fill="FFFFFF"/>
              <w:spacing w:before="180" w:after="0"/>
              <w:rPr>
                <w:rFonts w:ascii="Calibri" w:eastAsia="Calibri" w:hAnsi="Calibri" w:cs="Calibri"/>
                <w:color w:val="4A4A4A"/>
                <w:sz w:val="36"/>
                <w:szCs w:val="36"/>
                <w:vertAlign w:val="superscript"/>
              </w:rPr>
            </w:pPr>
            <w:r>
              <w:rPr>
                <w:b/>
                <w:color w:val="4A4A4A"/>
              </w:rPr>
              <w:lastRenderedPageBreak/>
              <w:t>Concepts:</w:t>
            </w:r>
            <w:r>
              <w:rPr>
                <w:color w:val="4A4A4A"/>
              </w:rPr>
              <w:t xml:space="preserve"> A </w:t>
            </w:r>
            <w:r>
              <w:rPr>
                <w:color w:val="4A4A4A"/>
                <w:u w:val="single"/>
              </w:rPr>
              <w:t>justiciable problem</w:t>
            </w:r>
            <w:r>
              <w:rPr>
                <w:color w:val="4A4A4A"/>
              </w:rPr>
              <w:t xml:space="preserve"> between individuals or between individual(s) and an entity is a dispute. Justiciable problems can be seen as the ones giving rise to legal issues, whether or not the problems are perceived as being “legal” by those who face them, and whether or not any legal action was taken as a result of the problem</w:t>
            </w:r>
            <w:r>
              <w:rPr>
                <w:color w:val="4A4A4A"/>
                <w:sz w:val="21"/>
                <w:szCs w:val="21"/>
              </w:rPr>
              <w:t>.</w:t>
            </w:r>
          </w:p>
          <w:p w14:paraId="6C84E827" w14:textId="2581E4D4" w:rsidR="0095592A" w:rsidRPr="002E5095" w:rsidRDefault="002E5095" w:rsidP="002E5095">
            <w:pPr>
              <w:shd w:val="clear" w:color="auto" w:fill="FFFFFF"/>
              <w:spacing w:after="0"/>
              <w:contextualSpacing/>
              <w:rPr>
                <w:rFonts w:eastAsia="Times New Roman" w:cstheme="minorHAnsi"/>
                <w:b/>
                <w:bCs/>
                <w:color w:val="4A4A4A"/>
                <w:lang w:eastAsia="en-GB"/>
              </w:rPr>
            </w:pPr>
            <w:r>
              <w:rPr>
                <w:color w:val="4A4A4A"/>
              </w:rPr>
              <w:t>Several categories of disputes have been considered in Kenya depending on social, economic, political, legal, institutional and cultural factors.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7C560F9" w:rsidR="0015178E" w:rsidRPr="009C3987" w:rsidRDefault="002E5095" w:rsidP="009F305C">
            <w:pPr>
              <w:rPr>
                <w:rFonts w:cstheme="minorHAnsi"/>
              </w:rPr>
            </w:pPr>
            <w:r>
              <w:rPr>
                <w:rFonts w:cstheme="minorHAnsi"/>
              </w:rPr>
              <w:t>Per 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8F38B5D" w:rsidR="0095592A" w:rsidRPr="009C3987" w:rsidRDefault="002E5095" w:rsidP="009F305C">
            <w:pPr>
              <w:rPr>
                <w:rFonts w:cstheme="minorHAnsi"/>
              </w:rPr>
            </w:pPr>
            <w:r>
              <w:rPr>
                <w:rFonts w:cstheme="minorHAnsi"/>
              </w:rPr>
              <w:t>None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3AEAB97" w:rsidR="0035311B" w:rsidRPr="009F305C" w:rsidRDefault="002E5095" w:rsidP="002E5095">
            <w:pPr>
              <w:spacing w:before="240" w:after="240"/>
            </w:pPr>
            <w:r>
              <w:t xml:space="preserve">Section QB: Household Justice; Question QB03 from the 2015/16 Kenya Integrated Household Budget Survey </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6119374" w14:textId="77777777" w:rsidR="002E5095" w:rsidRPr="008752D7" w:rsidRDefault="002E5095" w:rsidP="002E5095">
            <w:pPr>
              <w:autoSpaceDE w:val="0"/>
              <w:autoSpaceDN w:val="0"/>
              <w:adjustRightInd w:val="0"/>
              <w:spacing w:after="0" w:line="240" w:lineRule="auto"/>
              <w:rPr>
                <w:rFonts w:hint="eastAsia"/>
              </w:rPr>
            </w:pPr>
            <w:r w:rsidRPr="008752D7">
              <w:rPr>
                <w:rFonts w:hint="eastAsia"/>
              </w:rPr>
              <w:t xml:space="preserve">The 2015/16 KIHBS sample was drawn from the fifth National Sample Survey and Evaluation </w:t>
            </w:r>
            <w:proofErr w:type="spellStart"/>
            <w:r w:rsidRPr="008752D7">
              <w:rPr>
                <w:rFonts w:hint="eastAsia"/>
              </w:rPr>
              <w:t>Programme</w:t>
            </w:r>
            <w:proofErr w:type="spellEnd"/>
          </w:p>
          <w:p w14:paraId="0B5299EB" w14:textId="77777777" w:rsidR="002E5095" w:rsidRPr="008752D7" w:rsidRDefault="002E5095" w:rsidP="002E5095">
            <w:pPr>
              <w:autoSpaceDE w:val="0"/>
              <w:autoSpaceDN w:val="0"/>
              <w:adjustRightInd w:val="0"/>
              <w:spacing w:after="0" w:line="240" w:lineRule="auto"/>
            </w:pPr>
            <w:r w:rsidRPr="008752D7">
              <w:rPr>
                <w:rFonts w:hint="eastAsia"/>
              </w:rPr>
              <w:t xml:space="preserve">(NASSEP V) household sampling frame. </w:t>
            </w:r>
          </w:p>
          <w:p w14:paraId="7AE77880" w14:textId="77777777" w:rsidR="002E5095" w:rsidRPr="008752D7" w:rsidRDefault="002E5095" w:rsidP="002E5095">
            <w:pPr>
              <w:autoSpaceDE w:val="0"/>
              <w:autoSpaceDN w:val="0"/>
              <w:adjustRightInd w:val="0"/>
              <w:spacing w:after="0" w:line="240" w:lineRule="auto"/>
              <w:rPr>
                <w:rFonts w:hint="eastAsia"/>
              </w:rPr>
            </w:pPr>
            <w:r>
              <w:rPr>
                <w:rFonts w:hint="eastAsia"/>
              </w:rPr>
              <w:t>The frame consist</w:t>
            </w:r>
            <w:r>
              <w:t>ed</w:t>
            </w:r>
            <w:r w:rsidRPr="008752D7">
              <w:rPr>
                <w:rFonts w:hint="eastAsia"/>
              </w:rPr>
              <w:t xml:space="preserve"> of 5,360 clusters split into four equal sub-samples.</w:t>
            </w:r>
          </w:p>
          <w:p w14:paraId="1D06C62E" w14:textId="77777777" w:rsidR="002E5095" w:rsidRPr="008752D7" w:rsidRDefault="002E5095" w:rsidP="002E5095">
            <w:pPr>
              <w:autoSpaceDE w:val="0"/>
              <w:autoSpaceDN w:val="0"/>
              <w:adjustRightInd w:val="0"/>
              <w:spacing w:after="0" w:line="240" w:lineRule="auto"/>
              <w:rPr>
                <w:rFonts w:hint="eastAsia"/>
              </w:rPr>
            </w:pPr>
            <w:r w:rsidRPr="008752D7">
              <w:rPr>
                <w:rFonts w:hint="eastAsia"/>
              </w:rPr>
              <w:t>The clusters in the frame were drawn from approximately 96,000 enumeration areas (EAs) of the 2009 Kenya</w:t>
            </w:r>
          </w:p>
          <w:p w14:paraId="27ED99F8" w14:textId="77777777" w:rsidR="002E5095" w:rsidRPr="008752D7" w:rsidRDefault="002E5095" w:rsidP="002E5095">
            <w:pPr>
              <w:autoSpaceDE w:val="0"/>
              <w:autoSpaceDN w:val="0"/>
              <w:adjustRightInd w:val="0"/>
              <w:spacing w:after="0" w:line="240" w:lineRule="auto"/>
              <w:rPr>
                <w:rFonts w:hint="eastAsia"/>
              </w:rPr>
            </w:pPr>
            <w:r w:rsidRPr="008752D7">
              <w:rPr>
                <w:rFonts w:hint="eastAsia"/>
              </w:rPr>
              <w:t xml:space="preserve">Population </w:t>
            </w:r>
            <w:r>
              <w:rPr>
                <w:rFonts w:hint="eastAsia"/>
              </w:rPr>
              <w:t xml:space="preserve">and Housing Census. The frame </w:t>
            </w:r>
            <w:r>
              <w:t>was</w:t>
            </w:r>
            <w:r w:rsidRPr="008752D7">
              <w:rPr>
                <w:rFonts w:hint="eastAsia"/>
              </w:rPr>
              <w:t xml:space="preserve"> stratified into urban and rural areas within each of 47 counties</w:t>
            </w:r>
          </w:p>
          <w:p w14:paraId="61388EF7" w14:textId="77777777" w:rsidR="002E5095" w:rsidRPr="008752D7" w:rsidRDefault="002E5095" w:rsidP="002E5095">
            <w:pPr>
              <w:autoSpaceDE w:val="0"/>
              <w:autoSpaceDN w:val="0"/>
              <w:adjustRightInd w:val="0"/>
              <w:spacing w:after="0" w:line="240" w:lineRule="auto"/>
              <w:rPr>
                <w:rFonts w:hint="eastAsia"/>
              </w:rPr>
            </w:pPr>
            <w:r w:rsidRPr="008752D7">
              <w:rPr>
                <w:rFonts w:hint="eastAsia"/>
              </w:rPr>
              <w:t>resulting in 92 sampling strata with Nairobi city and Mombasa counties being wholly urban. The sample size</w:t>
            </w:r>
          </w:p>
          <w:p w14:paraId="51D18BB2" w14:textId="77777777" w:rsidR="002E5095" w:rsidRPr="008752D7" w:rsidRDefault="002E5095" w:rsidP="002E5095">
            <w:pPr>
              <w:autoSpaceDE w:val="0"/>
              <w:autoSpaceDN w:val="0"/>
              <w:adjustRightInd w:val="0"/>
              <w:spacing w:after="0" w:line="240" w:lineRule="auto"/>
              <w:rPr>
                <w:rFonts w:hint="eastAsia"/>
              </w:rPr>
            </w:pPr>
            <w:r w:rsidRPr="008752D7">
              <w:rPr>
                <w:rFonts w:hint="eastAsia"/>
              </w:rPr>
              <w:t>was determined independently for each county, resulting in a national sample of 24,000 households. This</w:t>
            </w:r>
          </w:p>
          <w:p w14:paraId="6EE91011" w14:textId="77777777" w:rsidR="002E5095" w:rsidRPr="008752D7" w:rsidRDefault="002E5095" w:rsidP="002E5095">
            <w:pPr>
              <w:autoSpaceDE w:val="0"/>
              <w:autoSpaceDN w:val="0"/>
              <w:adjustRightInd w:val="0"/>
              <w:spacing w:after="0" w:line="240" w:lineRule="auto"/>
              <w:rPr>
                <w:rFonts w:hint="eastAsia"/>
              </w:rPr>
            </w:pPr>
            <w:r w:rsidRPr="008752D7">
              <w:rPr>
                <w:rFonts w:hint="eastAsia"/>
              </w:rPr>
              <w:t>sample was further distributed to the urban and rural strata.</w:t>
            </w:r>
          </w:p>
          <w:p w14:paraId="4C9930B9" w14:textId="77777777" w:rsidR="002E5095" w:rsidRPr="008752D7" w:rsidRDefault="002E5095" w:rsidP="002E5095">
            <w:pPr>
              <w:autoSpaceDE w:val="0"/>
              <w:autoSpaceDN w:val="0"/>
              <w:adjustRightInd w:val="0"/>
              <w:spacing w:after="0" w:line="240" w:lineRule="auto"/>
              <w:rPr>
                <w:rFonts w:hint="eastAsia"/>
              </w:rPr>
            </w:pPr>
            <w:r w:rsidRPr="008752D7">
              <w:rPr>
                <w:rFonts w:hint="eastAsia"/>
              </w:rPr>
              <w:t>The sampling for the survey was done in three stages. In the first stage, a total of 2,400 clusters (988 in</w:t>
            </w:r>
          </w:p>
          <w:p w14:paraId="2BEEFA5B" w14:textId="77777777" w:rsidR="002E5095" w:rsidRPr="008752D7" w:rsidRDefault="002E5095" w:rsidP="002E5095">
            <w:pPr>
              <w:autoSpaceDE w:val="0"/>
              <w:autoSpaceDN w:val="0"/>
              <w:adjustRightInd w:val="0"/>
              <w:spacing w:after="0" w:line="240" w:lineRule="auto"/>
              <w:rPr>
                <w:rFonts w:hint="eastAsia"/>
              </w:rPr>
            </w:pPr>
            <w:r w:rsidRPr="008752D7">
              <w:rPr>
                <w:rFonts w:hint="eastAsia"/>
              </w:rPr>
              <w:t>urban and 1,412 in rural areas) were sampled from NASSEP V sampling frame while the second stage</w:t>
            </w:r>
          </w:p>
          <w:p w14:paraId="0A074409" w14:textId="77777777" w:rsidR="002E5095" w:rsidRPr="008752D7" w:rsidRDefault="002E5095" w:rsidP="002E5095">
            <w:pPr>
              <w:autoSpaceDE w:val="0"/>
              <w:autoSpaceDN w:val="0"/>
              <w:adjustRightInd w:val="0"/>
              <w:spacing w:after="0" w:line="240" w:lineRule="auto"/>
              <w:rPr>
                <w:rFonts w:hint="eastAsia"/>
              </w:rPr>
            </w:pPr>
            <w:r w:rsidRPr="008752D7">
              <w:rPr>
                <w:rFonts w:hint="eastAsia"/>
              </w:rPr>
              <w:t>involved selection of 16 households from each of the clusters. The third stage involved the sub-sampling</w:t>
            </w:r>
          </w:p>
          <w:p w14:paraId="53C9D1FA" w14:textId="77777777" w:rsidR="002E5095" w:rsidRPr="008752D7" w:rsidRDefault="002E5095" w:rsidP="002E5095">
            <w:pPr>
              <w:autoSpaceDE w:val="0"/>
              <w:autoSpaceDN w:val="0"/>
              <w:adjustRightInd w:val="0"/>
              <w:spacing w:after="0" w:line="240" w:lineRule="auto"/>
              <w:rPr>
                <w:rFonts w:hint="eastAsia"/>
              </w:rPr>
            </w:pPr>
            <w:r w:rsidRPr="008752D7">
              <w:rPr>
                <w:rFonts w:hint="eastAsia"/>
              </w:rPr>
              <w:t>of 10 households (from the 16 households) for the main KIHBS with the remaining 6 earmarked for the</w:t>
            </w:r>
          </w:p>
          <w:p w14:paraId="00895351" w14:textId="77777777" w:rsidR="002E5095" w:rsidRPr="008752D7" w:rsidRDefault="002E5095" w:rsidP="002E5095">
            <w:pPr>
              <w:autoSpaceDE w:val="0"/>
              <w:autoSpaceDN w:val="0"/>
              <w:adjustRightInd w:val="0"/>
              <w:spacing w:after="0" w:line="240" w:lineRule="auto"/>
              <w:rPr>
                <w:rFonts w:hint="eastAsia"/>
              </w:rPr>
            </w:pPr>
            <w:r w:rsidRPr="008752D7">
              <w:rPr>
                <w:rFonts w:hint="eastAsia"/>
              </w:rPr>
              <w:lastRenderedPageBreak/>
              <w:t xml:space="preserve">Continuous Household Survey </w:t>
            </w:r>
            <w:proofErr w:type="spellStart"/>
            <w:r w:rsidRPr="008752D7">
              <w:rPr>
                <w:rFonts w:hint="eastAsia"/>
              </w:rPr>
              <w:t>Programme</w:t>
            </w:r>
            <w:proofErr w:type="spellEnd"/>
            <w:r w:rsidRPr="008752D7">
              <w:rPr>
                <w:rFonts w:hint="eastAsia"/>
              </w:rPr>
              <w:t xml:space="preserve"> (CHSP). Further, five households from each cluster were</w:t>
            </w:r>
          </w:p>
          <w:p w14:paraId="2F4E08B1" w14:textId="77777777" w:rsidR="002E5095" w:rsidRPr="008752D7" w:rsidRDefault="002E5095" w:rsidP="002E5095">
            <w:pPr>
              <w:autoSpaceDE w:val="0"/>
              <w:autoSpaceDN w:val="0"/>
              <w:adjustRightInd w:val="0"/>
              <w:spacing w:after="0" w:line="240" w:lineRule="auto"/>
              <w:rPr>
                <w:rFonts w:hint="eastAsia"/>
              </w:rPr>
            </w:pPr>
            <w:r w:rsidRPr="008752D7">
              <w:rPr>
                <w:rFonts w:hint="eastAsia"/>
              </w:rPr>
              <w:t>randomly selected among the 10 KIHBS households for the administration of diaries.</w:t>
            </w:r>
          </w:p>
          <w:p w14:paraId="5FB045F7" w14:textId="77777777" w:rsidR="002E5095" w:rsidRPr="008752D7" w:rsidRDefault="002E5095" w:rsidP="002E5095">
            <w:pPr>
              <w:autoSpaceDE w:val="0"/>
              <w:autoSpaceDN w:val="0"/>
              <w:adjustRightInd w:val="0"/>
              <w:spacing w:after="0" w:line="240" w:lineRule="auto"/>
              <w:rPr>
                <w:rFonts w:hint="eastAsia"/>
              </w:rPr>
            </w:pPr>
            <w:r w:rsidRPr="008752D7">
              <w:rPr>
                <w:rFonts w:hint="eastAsia"/>
              </w:rPr>
              <w:t>To capture seasonality, the 2015/16 KIHBS sample was divided into four quarters (a consecutive 3-month</w:t>
            </w:r>
          </w:p>
          <w:p w14:paraId="5612BCB6" w14:textId="77777777" w:rsidR="002E5095" w:rsidRPr="007C3F49" w:rsidRDefault="002E5095" w:rsidP="002E5095">
            <w:pPr>
              <w:autoSpaceDE w:val="0"/>
              <w:autoSpaceDN w:val="0"/>
              <w:adjustRightInd w:val="0"/>
              <w:spacing w:after="0" w:line="240" w:lineRule="auto"/>
            </w:pPr>
            <w:r w:rsidRPr="008752D7">
              <w:rPr>
                <w:rFonts w:hint="eastAsia"/>
              </w:rPr>
              <w:t>period). Each of the 2,400 clusters were randomly assigned into a quarter to generate nationally representative</w:t>
            </w:r>
            <w:r>
              <w:t xml:space="preserve"> </w:t>
            </w:r>
            <w:r w:rsidRPr="008752D7">
              <w:rPr>
                <w:rFonts w:hint="eastAsia"/>
              </w:rPr>
              <w:t>quarterly samples of app</w:t>
            </w:r>
            <w:r>
              <w:rPr>
                <w:rFonts w:hint="eastAsia"/>
              </w:rPr>
              <w:t>roximately 600 clusters that c</w:t>
            </w:r>
            <w:r>
              <w:t>ould</w:t>
            </w:r>
            <w:r w:rsidRPr="008752D7">
              <w:rPr>
                <w:rFonts w:hint="eastAsia"/>
              </w:rPr>
              <w:t xml:space="preserve"> be </w:t>
            </w:r>
            <w:proofErr w:type="spellStart"/>
            <w:r w:rsidRPr="008752D7">
              <w:rPr>
                <w:rFonts w:hint="eastAsia"/>
              </w:rPr>
              <w:t>analysed</w:t>
            </w:r>
            <w:proofErr w:type="spellEnd"/>
            <w:r w:rsidRPr="008752D7">
              <w:rPr>
                <w:rFonts w:hint="eastAsia"/>
              </w:rPr>
              <w:t xml:space="preserve"> independently.</w:t>
            </w:r>
            <w:r>
              <w:t xml:space="preserve"> Data was collected by the Kenya National Bureau of Statistics through standardized questionnaires administered by research assistants. The household heads or the most knowledgeable respondents were asked Question QB03 on whether they </w:t>
            </w:r>
            <w:r w:rsidRPr="007C3F49">
              <w:t xml:space="preserve">or </w:t>
            </w:r>
            <w:r>
              <w:t xml:space="preserve">their </w:t>
            </w:r>
            <w:r w:rsidRPr="007C3F49">
              <w:t xml:space="preserve">household experienced </w:t>
            </w:r>
            <w:r>
              <w:t>any</w:t>
            </w:r>
          </w:p>
          <w:p w14:paraId="27DE6DE8" w14:textId="77777777" w:rsidR="002E5095" w:rsidRPr="007C3F49" w:rsidRDefault="002E5095" w:rsidP="002E5095">
            <w:pPr>
              <w:autoSpaceDE w:val="0"/>
              <w:autoSpaceDN w:val="0"/>
              <w:adjustRightInd w:val="0"/>
              <w:spacing w:after="0" w:line="240" w:lineRule="auto"/>
            </w:pPr>
            <w:r>
              <w:t xml:space="preserve">grievances/disputes in the </w:t>
            </w:r>
            <w:r w:rsidRPr="007C3F49">
              <w:t>past 2 years</w:t>
            </w:r>
            <w:r>
              <w:t xml:space="preserve"> in the list provided in QB02 [Including </w:t>
            </w:r>
            <w:r w:rsidRPr="007C3F49">
              <w:t>those that started more</w:t>
            </w:r>
          </w:p>
          <w:p w14:paraId="1B2B2451" w14:textId="77777777" w:rsidR="002E5095" w:rsidRPr="007C3F49" w:rsidRDefault="002E5095" w:rsidP="002E5095">
            <w:pPr>
              <w:autoSpaceDE w:val="0"/>
              <w:autoSpaceDN w:val="0"/>
              <w:adjustRightInd w:val="0"/>
              <w:spacing w:after="0" w:line="240" w:lineRule="auto"/>
            </w:pPr>
            <w:r>
              <w:t xml:space="preserve">than 2 years ago and were </w:t>
            </w:r>
            <w:r w:rsidRPr="007C3F49">
              <w:t>concluded in the past 2</w:t>
            </w:r>
          </w:p>
          <w:p w14:paraId="60E54013" w14:textId="6A7D6336" w:rsidR="0035311B" w:rsidRPr="002E5095" w:rsidRDefault="002E5095" w:rsidP="002E5095">
            <w:pPr>
              <w:autoSpaceDE w:val="0"/>
              <w:autoSpaceDN w:val="0"/>
              <w:adjustRightInd w:val="0"/>
              <w:spacing w:after="0" w:line="240" w:lineRule="auto"/>
            </w:pPr>
            <w:r>
              <w:t>years.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8D8E17B" w:rsidR="0035311B" w:rsidRPr="009C3987" w:rsidRDefault="0095592A" w:rsidP="009F305C">
            <w:pPr>
              <w:rPr>
                <w:rFonts w:cstheme="minorHAnsi"/>
              </w:rPr>
            </w:pPr>
            <w:r w:rsidRPr="009C3987">
              <w:rPr>
                <w:rFonts w:cstheme="minorHAnsi"/>
              </w:rPr>
              <w:t>Every 5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BBEA6FD" w:rsidR="0035311B" w:rsidRPr="009C3987" w:rsidRDefault="002E5095" w:rsidP="009F305C">
            <w:pPr>
              <w:rPr>
                <w:rFonts w:cstheme="minorHAnsi"/>
              </w:rPr>
            </w:pPr>
            <w:r>
              <w:rPr>
                <w:rFonts w:cstheme="minorHAnsi"/>
              </w:rPr>
              <w:t>2024/25</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AB98C80" w:rsidR="0035311B" w:rsidRPr="009C3987" w:rsidRDefault="0095592A" w:rsidP="009F305C">
            <w:pPr>
              <w:rPr>
                <w:rFonts w:cstheme="minorHAnsi"/>
              </w:rPr>
            </w:pPr>
            <w:r w:rsidRPr="009C3987">
              <w:rPr>
                <w:rFonts w:cstheme="minorHAnsi"/>
              </w:rPr>
              <w:t>Kenya National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CC2070E" w:rsidR="0035311B" w:rsidRPr="009C3987" w:rsidRDefault="0095592A" w:rsidP="009F305C">
            <w:pPr>
              <w:rPr>
                <w:rFonts w:cstheme="minorHAnsi"/>
              </w:rPr>
            </w:pPr>
            <w:r w:rsidRPr="009C3987">
              <w:rPr>
                <w:rFonts w:cstheme="minorHAnsi"/>
              </w:rP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FE00DD5" w:rsidR="0035311B" w:rsidRPr="009C3987" w:rsidRDefault="0095592A" w:rsidP="009C3987">
            <w:pPr>
              <w:rPr>
                <w:rFonts w:cstheme="minorHAnsi"/>
              </w:rPr>
            </w:pPr>
            <w:r w:rsidRPr="009C3987">
              <w:rPr>
                <w:rFonts w:cstheme="minorHAnsi"/>
              </w:rPr>
              <w:t>The Kenya National Bureau of Statistics (KNBS) is established under the Statistics Act, 2006 as the principal agency of the Government for collecting, analyzing and disseminating statistical data in Kenya as the custodian of official statistical information</w:t>
            </w:r>
            <w:r w:rsidR="009C3987" w:rsidRPr="009C3987">
              <w:rPr>
                <w:rFonts w:cstheme="minorHAnsi"/>
              </w:rPr>
              <w:t xml:space="preserve"> and promoting effective statistical coordination of the National Statistical System (NSS)</w:t>
            </w:r>
            <w:r w:rsidRPr="009C3987">
              <w:rPr>
                <w:rFonts w:cstheme="minorHAnsi"/>
              </w:rPr>
              <w:t>.</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E12BDAF" w14:textId="77777777" w:rsidR="002D48AE" w:rsidRDefault="002D48AE" w:rsidP="002D48AE">
            <w:pPr>
              <w:shd w:val="clear" w:color="auto" w:fill="FFFFFF"/>
              <w:spacing w:before="240" w:after="240"/>
              <w:jc w:val="both"/>
              <w:rPr>
                <w:color w:val="4A4A4A"/>
              </w:rPr>
            </w:pPr>
            <w:r>
              <w:rPr>
                <w:color w:val="4A4A4A"/>
              </w:rPr>
              <w:t xml:space="preserve">It is broadly concerned with “the ability of people to defend and enforce their rights and obtain just resolution of justiciable problems in compliance with human rights standards; if necessary, through impartial formal or informal institutions of justice and with appropriate legal support.” </w:t>
            </w:r>
          </w:p>
          <w:p w14:paraId="2E3517AC" w14:textId="6003CFAB" w:rsidR="0030629D" w:rsidRPr="002E5095" w:rsidRDefault="002D48AE" w:rsidP="002D48AE">
            <w:pPr>
              <w:pStyle w:val="MText"/>
              <w:jc w:val="both"/>
              <w:rPr>
                <w:rFonts w:eastAsiaTheme="minorHAnsi" w:cstheme="minorHAnsi"/>
                <w:color w:val="auto"/>
                <w:sz w:val="22"/>
                <w:szCs w:val="22"/>
                <w:lang w:val="en-US" w:eastAsia="en-US"/>
              </w:rPr>
            </w:pPr>
            <w:r>
              <w:t xml:space="preserve">The rationale of this indicator is to focus on one step of the process and in particular on the accessibility of justice institutions and </w:t>
            </w:r>
            <w:r>
              <w:lastRenderedPageBreak/>
              <w:t>mechanisms (both formal and informal) by those who have experienced a justiciable problem. The indicator can provide important information about the overall accessibility of civil justice institutions and processes, barriers, and reasons for exclusion of some people. The disaggregation by type of dispute resolution mechanism provides additional information about the channels used by citizens in need of enforcing or defending their rights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5C15CB27" w14:textId="77777777" w:rsidR="002D48AE" w:rsidRDefault="002D48AE" w:rsidP="002D48AE">
            <w:pPr>
              <w:shd w:val="clear" w:color="auto" w:fill="FFFFFF"/>
              <w:spacing w:before="180" w:after="0"/>
              <w:rPr>
                <w:rFonts w:ascii="Calibri" w:eastAsia="Calibri" w:hAnsi="Calibri" w:cs="Calibri"/>
                <w:color w:val="4A4A4A"/>
              </w:rPr>
            </w:pPr>
            <w:r>
              <w:rPr>
                <w:rFonts w:ascii="Calibri" w:eastAsia="Calibri" w:hAnsi="Calibri" w:cs="Calibri"/>
                <w:color w:val="4A4A4A"/>
              </w:rPr>
              <w:t>A major challenge is that the concept of dispute (justiciable problem) is subject to different interpretations and the propensity to consider a disagreement or conflict in terms of a justiciable problem can vary greatly across individuals and between societies. This can be addressed by only focusing on disputes that can be considered justiciable in nature across most countries in order to maximize comparability across different legal systems.</w:t>
            </w:r>
          </w:p>
          <w:p w14:paraId="6BADB9BA" w14:textId="7912AACF" w:rsidR="002D48AE" w:rsidRDefault="002D48AE" w:rsidP="002D48AE">
            <w:pPr>
              <w:shd w:val="clear" w:color="auto" w:fill="FFFFFF"/>
              <w:spacing w:before="180" w:after="0"/>
              <w:rPr>
                <w:rFonts w:ascii="Calibri" w:eastAsia="Calibri" w:hAnsi="Calibri" w:cs="Calibri"/>
                <w:color w:val="4A4A4A"/>
              </w:rPr>
            </w:pPr>
            <w:r>
              <w:rPr>
                <w:rFonts w:ascii="Calibri" w:eastAsia="Calibri" w:hAnsi="Calibri" w:cs="Calibri"/>
                <w:color w:val="4A4A4A"/>
              </w:rPr>
              <w:t>Identifying possible dispute resolution mechanisms can be a challenge since dispute resolution mechanisms vary considerably in different countries around the world thereby limiting comparability.</w:t>
            </w:r>
          </w:p>
          <w:p w14:paraId="5C2FBBDC" w14:textId="77777777" w:rsidR="002D48AE" w:rsidRDefault="002D48AE" w:rsidP="002D48AE">
            <w:pPr>
              <w:shd w:val="clear" w:color="auto" w:fill="FFFFFF"/>
              <w:spacing w:before="180" w:after="0"/>
              <w:rPr>
                <w:rFonts w:ascii="Calibri" w:eastAsia="Calibri" w:hAnsi="Calibri" w:cs="Calibri"/>
                <w:color w:val="4A4A4A"/>
              </w:rPr>
            </w:pPr>
          </w:p>
          <w:p w14:paraId="48EF8537" w14:textId="0253C61F" w:rsidR="00773ABF" w:rsidRPr="009F305C" w:rsidRDefault="002D48AE" w:rsidP="002D48AE">
            <w:r>
              <w:rPr>
                <w:rFonts w:ascii="Calibri" w:eastAsia="Calibri" w:hAnsi="Calibri" w:cs="Calibri"/>
                <w:color w:val="4A4A4A"/>
              </w:rPr>
              <w:t>The share of the population experiencing the disputes under investigation can be of relatively small size and this can influence the statistical significance of results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24C1227" w14:textId="5EF9355E" w:rsidR="001D58C8" w:rsidRDefault="008C49B1" w:rsidP="008C49B1">
            <w:pPr>
              <w:pStyle w:val="MText"/>
              <w:rPr>
                <w:rFonts w:ascii="Calibri" w:eastAsia="Calibri" w:hAnsi="Calibri" w:cs="Calibri"/>
              </w:rPr>
            </w:pPr>
            <w:r>
              <w:rPr>
                <w:rFonts w:ascii="Calibri" w:eastAsia="Calibri" w:hAnsi="Calibri" w:cs="Calibri"/>
              </w:rPr>
              <w:t xml:space="preserve">Computed as the Number of persons who experienced a dispute during the past two years who accessed a formal or informal dispute resolution mechanism (numerator), divided by the number of those who experienced a dispute in the past two years minus those who are voluntarily self-excluded (denominator). </w:t>
            </w:r>
          </w:p>
          <w:p w14:paraId="75885957" w14:textId="7FCCE3CC" w:rsidR="001D58C8" w:rsidRDefault="008C49B1" w:rsidP="008C49B1">
            <w:pPr>
              <w:pStyle w:val="MText"/>
              <w:rPr>
                <w:rFonts w:ascii="Calibri" w:eastAsia="Calibri" w:hAnsi="Calibri" w:cs="Calibri"/>
              </w:rPr>
            </w:pPr>
            <w:r>
              <w:rPr>
                <w:rFonts w:ascii="Calibri" w:eastAsia="Calibri" w:hAnsi="Calibri" w:cs="Calibri"/>
              </w:rPr>
              <w:t>The result would be multiplied by:</w:t>
            </w:r>
          </w:p>
          <w:p w14:paraId="7E155DC8" w14:textId="77777777" w:rsidR="001D58C8" w:rsidRPr="001D58C8" w:rsidRDefault="008C49B1" w:rsidP="008C49B1">
            <w:pPr>
              <w:pStyle w:val="MText"/>
              <w:rPr>
                <w:rFonts w:ascii="Calibri" w:eastAsia="Calibri" w:hAnsi="Calibri" w:cs="Calibri"/>
                <w:sz w:val="16"/>
                <w:szCs w:val="16"/>
              </w:rPr>
            </w:pPr>
            <m:oMathPara>
              <m:oMath>
                <m:r>
                  <w:rPr>
                    <w:rFonts w:ascii="Cambria Math" w:hAnsi="Cambria Math" w:cstheme="minorHAnsi"/>
                    <w:sz w:val="16"/>
                    <w:szCs w:val="16"/>
                  </w:rPr>
                  <m:t xml:space="preserve">16.3.3= </m:t>
                </m:r>
                <m:f>
                  <m:fPr>
                    <m:ctrlPr>
                      <w:rPr>
                        <w:rFonts w:ascii="Cambria Math" w:hAnsi="Cambria Math" w:cstheme="minorHAnsi"/>
                        <w:i/>
                        <w:sz w:val="16"/>
                        <w:szCs w:val="16"/>
                      </w:rPr>
                    </m:ctrlPr>
                  </m:fPr>
                  <m:num>
                    <m:r>
                      <w:rPr>
                        <w:rFonts w:ascii="Cambria Math" w:hAnsi="Cambria Math" w:cstheme="minorHAnsi"/>
                        <w:sz w:val="16"/>
                        <w:szCs w:val="16"/>
                      </w:rPr>
                      <m:t xml:space="preserve">Numer of people who accessed formal or informal dispute resolution mechanism </m:t>
                    </m:r>
                  </m:num>
                  <m:den>
                    <m:eqArr>
                      <m:eqArrPr>
                        <m:ctrlPr>
                          <w:rPr>
                            <w:rFonts w:ascii="Cambria Math" w:hAnsi="Cambria Math" w:cstheme="minorHAnsi"/>
                            <w:i/>
                            <w:sz w:val="16"/>
                            <w:szCs w:val="16"/>
                          </w:rPr>
                        </m:ctrlPr>
                      </m:eqArrPr>
                      <m:e>
                        <m:r>
                          <w:rPr>
                            <w:rFonts w:ascii="Cambria Math" w:hAnsi="Cambria Math" w:cstheme="minorHAnsi"/>
                            <w:sz w:val="16"/>
                            <w:szCs w:val="16"/>
                          </w:rPr>
                          <m:t>Number of people who experienced a dispute in the pas</m:t>
                        </m:r>
                      </m:e>
                      <m:e>
                        <m:ctrlPr>
                          <w:rPr>
                            <w:rFonts w:ascii="Cambria Math" w:eastAsia="Cambria Math" w:hAnsi="Cambria Math" w:cs="Cambria Math"/>
                            <w:i/>
                            <w:sz w:val="16"/>
                            <w:szCs w:val="16"/>
                          </w:rPr>
                        </m:ctrlPr>
                      </m:e>
                      <m:e>
                        <m:r>
                          <w:rPr>
                            <w:rFonts w:ascii="Cambria Math" w:hAnsi="Cambria Math" w:cstheme="minorHAnsi"/>
                            <w:sz w:val="16"/>
                            <w:szCs w:val="16"/>
                          </w:rPr>
                          <m:t>t 2 years and did not voluntarily self-exclude</m:t>
                        </m:r>
                        <m:ctrlPr>
                          <w:rPr>
                            <w:rFonts w:ascii="Cambria Math" w:eastAsia="Cambria Math" w:hAnsi="Cambria Math" w:cs="Cambria Math"/>
                            <w:i/>
                            <w:sz w:val="16"/>
                            <w:szCs w:val="16"/>
                          </w:rPr>
                        </m:ctrlPr>
                      </m:e>
                      <m:e/>
                    </m:eqArr>
                  </m:den>
                </m:f>
                <m:r>
                  <w:rPr>
                    <w:rFonts w:ascii="Cambria Math" w:hAnsi="Cambria Math" w:cstheme="minorHAnsi"/>
                    <w:sz w:val="16"/>
                    <w:szCs w:val="16"/>
                  </w:rPr>
                  <m:t>X100</m:t>
                </m:r>
              </m:oMath>
            </m:oMathPara>
          </w:p>
          <w:p w14:paraId="5A53B8A7" w14:textId="0A87E215" w:rsidR="008C49B1" w:rsidRPr="001D58C8" w:rsidRDefault="008C49B1" w:rsidP="008C49B1">
            <w:pPr>
              <w:pStyle w:val="MText"/>
              <w:rPr>
                <w:rFonts w:ascii="Calibri" w:eastAsia="Calibri" w:hAnsi="Calibri" w:cs="Calibri"/>
              </w:rPr>
            </w:pPr>
            <w:r>
              <w:rPr>
                <w:rFonts w:ascii="Calibri" w:hAnsi="Calibri"/>
                <w:b/>
                <w:sz w:val="22"/>
                <w:szCs w:val="22"/>
                <w:u w:val="single"/>
              </w:rPr>
              <w:t xml:space="preserve"> </w:t>
            </w:r>
            <w:r w:rsidR="001D58C8">
              <w:rPr>
                <w:rFonts w:ascii="Calibri" w:eastAsia="Calibri" w:hAnsi="Calibri" w:cs="Calibri"/>
              </w:rPr>
              <w:t>Both numerator and denominator are measured through sample surveys of the general population.</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61C60E4" w14:textId="77777777" w:rsidR="001D58C8" w:rsidRDefault="001D58C8" w:rsidP="001D58C8">
            <w:pPr>
              <w:spacing w:before="240" w:after="240"/>
            </w:pPr>
            <w:r>
              <w:t xml:space="preserve">The data for the indicator is collected through Household Surveys conducted by KNBS in compliance with survey protocols. Data producers are encouraged to strictly follow the data quality practices, protocols and frameworks in relation of data quality. </w:t>
            </w:r>
          </w:p>
          <w:p w14:paraId="39BE1333" w14:textId="77777777" w:rsidR="001D58C8" w:rsidRDefault="001D58C8" w:rsidP="001D58C8">
            <w:pPr>
              <w:spacing w:before="240" w:after="240"/>
            </w:pPr>
            <w:r>
              <w:lastRenderedPageBreak/>
              <w:t xml:space="preserve">In addition to the data, the metadata which serves as one additional layer of validation and verification of the data is also reported as recommended for global reporting. </w:t>
            </w:r>
          </w:p>
          <w:p w14:paraId="59A9A85C" w14:textId="4BF3557B" w:rsidR="007F2D9F" w:rsidRPr="009F305C" w:rsidRDefault="001D58C8" w:rsidP="001D58C8">
            <w:r>
              <w:t xml:space="preserve">Metadata for survey-based indicators are assessed in relation to the representativeness and coverage of the survey as well as alignment of question wording and answer options with international standards. Before publication by KNBS, a </w:t>
            </w:r>
            <w:proofErr w:type="spellStart"/>
            <w:r>
              <w:t>standardised</w:t>
            </w:r>
            <w:proofErr w:type="spellEnd"/>
            <w:r>
              <w:t xml:space="preserve"> “pre-publication process” is implemented, where national stakeholders can verify and review the data before publication.</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7222958E" w:rsidR="007F2D9F" w:rsidRPr="009F305C" w:rsidRDefault="001D58C8" w:rsidP="005E7A75">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325B637" w14:textId="77777777" w:rsidR="001D58C8" w:rsidRDefault="001D58C8" w:rsidP="001D58C8">
            <w:pPr>
              <w:spacing w:before="180" w:after="180"/>
              <w:rPr>
                <w:b/>
              </w:rPr>
            </w:pPr>
            <w:r>
              <w:rPr>
                <w:b/>
              </w:rPr>
              <w:t>At country level</w:t>
            </w:r>
          </w:p>
          <w:p w14:paraId="55C0FDEF" w14:textId="68CC2DBA" w:rsidR="007F2D9F" w:rsidRPr="009F305C" w:rsidRDefault="001D58C8" w:rsidP="001D58C8">
            <w:r>
              <w:t>National data are not imputed if data derived from surveys conducted at country level are not available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258D17DD" w:rsidR="007F2D9F" w:rsidRPr="009F305C" w:rsidRDefault="001D58C8"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E43FA1D" w:rsidR="007F2D9F" w:rsidRPr="009F305C" w:rsidRDefault="001D58C8" w:rsidP="000707B5">
            <w:r>
              <w:t>There is clear documentation done by Ken</w:t>
            </w:r>
            <w:r>
              <w:t>ya National Bureau of Statist</w:t>
            </w:r>
            <w:r>
              <w:t>ics on the methods and procedures employed in the 2015-2016 Kenya Integrated Household Budget Survey.</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40EEFDC5" w:rsidR="007F2D9F" w:rsidRPr="009F305C" w:rsidRDefault="001D58C8" w:rsidP="00A42D79">
            <w:r>
              <w:t>KNBS maintains quality of data by investing much in data collectors training. Once the data collectors understand their roles well, it is easy for them to obtain the required data from the respondent. The data collected is validated at different level to ascertain its validity and quality.</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E39C515" w14:textId="77777777" w:rsidR="00A369BB" w:rsidRDefault="00A369BB" w:rsidP="00A369BB">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394AA60C" w:rsidR="007F2D9F" w:rsidRPr="009F305C" w:rsidRDefault="00A369BB" w:rsidP="00A369BB">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A2D0B93" w:rsidR="007F2D9F" w:rsidRPr="009F305C" w:rsidRDefault="00A369BB" w:rsidP="00A42D79">
            <w:pPr>
              <w:jc w:val="both"/>
            </w:pPr>
            <w:r>
              <w:t xml:space="preserve">The KNBS adheres to </w:t>
            </w:r>
            <w:proofErr w:type="spellStart"/>
            <w:r w:rsidR="00A42D79">
              <w:t>KesQAF</w:t>
            </w:r>
            <w:proofErr w:type="spellEnd"/>
            <w:r w:rsidR="00A42D79">
              <w:t>, ISO 9001:2015 and the Statistics Act 2006 and 2019 hence ensuring production of quality products and services.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D1C8228" w14:textId="77777777" w:rsidR="00E45B48" w:rsidRDefault="00E45B48" w:rsidP="00E45B48">
            <w:pPr>
              <w:spacing w:before="240" w:after="240"/>
              <w:rPr>
                <w:b/>
              </w:rPr>
            </w:pPr>
            <w:r>
              <w:rPr>
                <w:b/>
              </w:rPr>
              <w:t>Data availability:</w:t>
            </w:r>
          </w:p>
          <w:p w14:paraId="39BA03D6" w14:textId="77777777" w:rsidR="00E45B48" w:rsidRDefault="00E45B48" w:rsidP="00E45B48">
            <w:r>
              <w:t>Data available at National and County level</w:t>
            </w:r>
          </w:p>
          <w:p w14:paraId="3031F146" w14:textId="77777777" w:rsidR="00E45B48" w:rsidRDefault="00E45B48" w:rsidP="00E45B48">
            <w:pPr>
              <w:spacing w:before="240" w:after="240"/>
              <w:rPr>
                <w:b/>
              </w:rPr>
            </w:pPr>
            <w:r>
              <w:rPr>
                <w:b/>
              </w:rPr>
              <w:t>Time series:</w:t>
            </w:r>
          </w:p>
          <w:p w14:paraId="0701DDAE" w14:textId="77777777" w:rsidR="00E45B48" w:rsidRDefault="00E45B48" w:rsidP="00E45B48">
            <w:r>
              <w:t>2015-2016</w:t>
            </w:r>
          </w:p>
          <w:p w14:paraId="6DA2081E" w14:textId="77777777" w:rsidR="00E45B48" w:rsidRDefault="00E45B48" w:rsidP="00E45B48">
            <w:pPr>
              <w:spacing w:before="240" w:after="240"/>
              <w:rPr>
                <w:b/>
              </w:rPr>
            </w:pPr>
            <w:r>
              <w:rPr>
                <w:b/>
              </w:rPr>
              <w:t>Disaggregation:</w:t>
            </w:r>
          </w:p>
          <w:p w14:paraId="39185D77" w14:textId="7C1E51AB" w:rsidR="00776312" w:rsidRPr="009F305C" w:rsidRDefault="00E45B48" w:rsidP="00E45B48">
            <w:r w:rsidRPr="00DC4503">
              <w:t xml:space="preserve">Disaggregated by </w:t>
            </w:r>
            <w:r>
              <w:t>residence and county</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E565D31" w:rsidR="000E5D56" w:rsidRPr="009F305C" w:rsidRDefault="00E45B48" w:rsidP="00B44494">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F2FB2E3" w14:textId="77777777" w:rsidR="00E45B48" w:rsidRDefault="00E45B48" w:rsidP="00E45B48">
            <w:r>
              <w:rPr>
                <w:b/>
              </w:rPr>
              <w:t xml:space="preserve">URl: </w:t>
            </w:r>
            <w:r>
              <w:t>https://www.knbs.or.ke/download/popular-version-201516-kenya-integrated-household-budget-survey-kihbs-reports/</w:t>
            </w:r>
          </w:p>
          <w:p w14:paraId="127FB56F" w14:textId="43EE9125" w:rsidR="000707B5" w:rsidRPr="009F305C" w:rsidRDefault="00E45B48" w:rsidP="00E45B48">
            <w:pPr>
              <w:pStyle w:val="MText"/>
              <w:spacing w:after="120"/>
            </w:pPr>
            <w:bookmarkStart w:id="30" w:name="_GoBack"/>
            <w:bookmarkEnd w:id="30"/>
            <w:r>
              <w:rPr>
                <w:b/>
              </w:rPr>
              <w:t xml:space="preserve">References: </w:t>
            </w:r>
            <w:r>
              <w:t>Kenya Integrated Household Budget Survey (KIHBS)</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lastRenderedPageBreak/>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C25A0E5" w14:textId="77777777" w:rsidR="008C49B1" w:rsidRDefault="008C49B1" w:rsidP="006B0512">
      <w:pPr>
        <w:spacing w:after="0" w:line="240" w:lineRule="auto"/>
      </w:pPr>
      <w:r>
        <w:separator/>
      </w:r>
    </w:p>
  </w:endnote>
  <w:endnote w:type="continuationSeparator" w:id="0">
    <w:p w14:paraId="48B6AC30" w14:textId="77777777" w:rsidR="008C49B1" w:rsidRDefault="008C49B1"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2B7C165C" w:rsidR="008C49B1" w:rsidRDefault="008C49B1">
        <w:pPr>
          <w:pStyle w:val="Footer"/>
          <w:jc w:val="right"/>
        </w:pPr>
        <w:r>
          <w:fldChar w:fldCharType="begin"/>
        </w:r>
        <w:r>
          <w:instrText xml:space="preserve"> PAGE   \* MERGEFORMAT </w:instrText>
        </w:r>
        <w:r>
          <w:fldChar w:fldCharType="separate"/>
        </w:r>
        <w:r w:rsidR="00E45B48">
          <w:rPr>
            <w:noProof/>
          </w:rPr>
          <w:t>11</w:t>
        </w:r>
        <w:r>
          <w:rPr>
            <w:noProof/>
          </w:rPr>
          <w:fldChar w:fldCharType="end"/>
        </w:r>
      </w:p>
    </w:sdtContent>
  </w:sdt>
  <w:p w14:paraId="232AF3D4" w14:textId="77777777" w:rsidR="008C49B1" w:rsidRDefault="008C49B1">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39013ABD" w:rsidR="008C49B1" w:rsidRDefault="008C49B1">
        <w:pPr>
          <w:pStyle w:val="Footer"/>
          <w:jc w:val="right"/>
        </w:pPr>
        <w:r>
          <w:fldChar w:fldCharType="begin"/>
        </w:r>
        <w:r>
          <w:instrText xml:space="preserve"> PAGE   \* MERGEFORMAT </w:instrText>
        </w:r>
        <w:r>
          <w:fldChar w:fldCharType="separate"/>
        </w:r>
        <w:r w:rsidR="00E45B48">
          <w:rPr>
            <w:noProof/>
          </w:rPr>
          <w:t>1</w:t>
        </w:r>
        <w:r>
          <w:rPr>
            <w:noProof/>
          </w:rPr>
          <w:fldChar w:fldCharType="end"/>
        </w:r>
      </w:p>
    </w:sdtContent>
  </w:sdt>
  <w:p w14:paraId="52FF1B3E" w14:textId="77777777" w:rsidR="008C49B1" w:rsidRDefault="008C49B1">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9201CB0" w14:textId="77777777" w:rsidR="008C49B1" w:rsidRDefault="008C49B1" w:rsidP="006B0512">
      <w:pPr>
        <w:spacing w:after="0" w:line="240" w:lineRule="auto"/>
      </w:pPr>
      <w:r>
        <w:separator/>
      </w:r>
    </w:p>
  </w:footnote>
  <w:footnote w:type="continuationSeparator" w:id="0">
    <w:p w14:paraId="507435ED" w14:textId="77777777" w:rsidR="008C49B1" w:rsidRDefault="008C49B1" w:rsidP="006B0512">
      <w:pPr>
        <w:spacing w:after="0" w:line="240" w:lineRule="auto"/>
      </w:pPr>
      <w:r>
        <w:continuationSeparator/>
      </w:r>
    </w:p>
  </w:footnote>
  <w:footnote w:id="1">
    <w:p w14:paraId="463C7A6C" w14:textId="3926C0D8" w:rsidR="008C49B1" w:rsidRPr="00B8102F" w:rsidRDefault="008C49B1">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C66217"/>
    <w:multiLevelType w:val="hybridMultilevel"/>
    <w:tmpl w:val="C670349C"/>
    <w:lvl w:ilvl="0" w:tplc="A87AFE6C">
      <w:start w:val="3"/>
      <w:numFmt w:val="bullet"/>
      <w:lvlText w:val="-"/>
      <w:lvlJc w:val="left"/>
      <w:pPr>
        <w:ind w:left="720" w:hanging="360"/>
      </w:pPr>
      <w:rPr>
        <w:rFonts w:ascii="Calibri" w:eastAsia="Times New Roman" w:hAnsi="Calibri" w:cs="Times New Roman"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1" w15:restartNumberingAfterBreak="0">
    <w:nsid w:val="018B55CD"/>
    <w:multiLevelType w:val="hybridMultilevel"/>
    <w:tmpl w:val="BA3411E6"/>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D3258BA"/>
    <w:multiLevelType w:val="hybridMultilevel"/>
    <w:tmpl w:val="5D84E78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D674E5E"/>
    <w:multiLevelType w:val="hybridMultilevel"/>
    <w:tmpl w:val="32007E68"/>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4" w15:restartNumberingAfterBreak="0">
    <w:nsid w:val="16212D67"/>
    <w:multiLevelType w:val="hybridMultilevel"/>
    <w:tmpl w:val="F83A7F88"/>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5" w15:restartNumberingAfterBreak="0">
    <w:nsid w:val="19575EE8"/>
    <w:multiLevelType w:val="hybridMultilevel"/>
    <w:tmpl w:val="4A586212"/>
    <w:lvl w:ilvl="0" w:tplc="08090015">
      <w:start w:val="1"/>
      <w:numFmt w:val="upperLetter"/>
      <w:lvlText w:val="%1."/>
      <w:lvlJc w:val="left"/>
      <w:pPr>
        <w:ind w:left="720" w:hanging="360"/>
      </w:pPr>
    </w:lvl>
    <w:lvl w:ilvl="1" w:tplc="08090019">
      <w:start w:val="1"/>
      <w:numFmt w:val="lowerLetter"/>
      <w:lvlText w:val="%2."/>
      <w:lvlJc w:val="left"/>
      <w:pPr>
        <w:ind w:left="1440" w:hanging="360"/>
      </w:pPr>
    </w:lvl>
    <w:lvl w:ilvl="2" w:tplc="0809001B">
      <w:start w:val="1"/>
      <w:numFmt w:val="lowerRoman"/>
      <w:lvlText w:val="%3."/>
      <w:lvlJc w:val="right"/>
      <w:pPr>
        <w:ind w:left="2160" w:hanging="180"/>
      </w:pPr>
    </w:lvl>
    <w:lvl w:ilvl="3" w:tplc="0809000F">
      <w:start w:val="1"/>
      <w:numFmt w:val="decimal"/>
      <w:lvlText w:val="%4."/>
      <w:lvlJc w:val="left"/>
      <w:pPr>
        <w:ind w:left="2880" w:hanging="360"/>
      </w:pPr>
    </w:lvl>
    <w:lvl w:ilvl="4" w:tplc="08090019">
      <w:start w:val="1"/>
      <w:numFmt w:val="lowerLetter"/>
      <w:lvlText w:val="%5."/>
      <w:lvlJc w:val="left"/>
      <w:pPr>
        <w:ind w:left="3600" w:hanging="360"/>
      </w:pPr>
    </w:lvl>
    <w:lvl w:ilvl="5" w:tplc="0809001B">
      <w:start w:val="1"/>
      <w:numFmt w:val="lowerRoman"/>
      <w:lvlText w:val="%6."/>
      <w:lvlJc w:val="right"/>
      <w:pPr>
        <w:ind w:left="4320" w:hanging="180"/>
      </w:pPr>
    </w:lvl>
    <w:lvl w:ilvl="6" w:tplc="0809000F">
      <w:start w:val="1"/>
      <w:numFmt w:val="decimal"/>
      <w:lvlText w:val="%7."/>
      <w:lvlJc w:val="left"/>
      <w:pPr>
        <w:ind w:left="5040" w:hanging="360"/>
      </w:pPr>
    </w:lvl>
    <w:lvl w:ilvl="7" w:tplc="08090019">
      <w:start w:val="1"/>
      <w:numFmt w:val="lowerLetter"/>
      <w:lvlText w:val="%8."/>
      <w:lvlJc w:val="left"/>
      <w:pPr>
        <w:ind w:left="5760" w:hanging="360"/>
      </w:pPr>
    </w:lvl>
    <w:lvl w:ilvl="8" w:tplc="0809001B">
      <w:start w:val="1"/>
      <w:numFmt w:val="lowerRoman"/>
      <w:lvlText w:val="%9."/>
      <w:lvlJc w:val="right"/>
      <w:pPr>
        <w:ind w:left="6480" w:hanging="180"/>
      </w:pPr>
    </w:lvl>
  </w:abstractNum>
  <w:abstractNum w:abstractNumId="6" w15:restartNumberingAfterBreak="0">
    <w:nsid w:val="1AC23D12"/>
    <w:multiLevelType w:val="hybridMultilevel"/>
    <w:tmpl w:val="1BB67A4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9137A9A"/>
    <w:multiLevelType w:val="hybridMultilevel"/>
    <w:tmpl w:val="887C88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2FD9591D"/>
    <w:multiLevelType w:val="hybridMultilevel"/>
    <w:tmpl w:val="01E861CA"/>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336A29D8"/>
    <w:multiLevelType w:val="hybridMultilevel"/>
    <w:tmpl w:val="1ECCE11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33D81D09"/>
    <w:multiLevelType w:val="hybridMultilevel"/>
    <w:tmpl w:val="3CFAA750"/>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12" w15:restartNumberingAfterBreak="0">
    <w:nsid w:val="3E4B11D5"/>
    <w:multiLevelType w:val="hybridMultilevel"/>
    <w:tmpl w:val="F8DE1060"/>
    <w:lvl w:ilvl="0" w:tplc="B3AC6EA4">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1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70332292"/>
    <w:multiLevelType w:val="hybridMultilevel"/>
    <w:tmpl w:val="F3940056"/>
    <w:lvl w:ilvl="0" w:tplc="9F1EDBBE">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7" w15:restartNumberingAfterBreak="0">
    <w:nsid w:val="71A21BC4"/>
    <w:multiLevelType w:val="hybridMultilevel"/>
    <w:tmpl w:val="BBA2C2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8" w15:restartNumberingAfterBreak="0">
    <w:nsid w:val="780B0573"/>
    <w:multiLevelType w:val="hybridMultilevel"/>
    <w:tmpl w:val="592AF3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4"/>
  </w:num>
  <w:num w:numId="2">
    <w:abstractNumId w:val="7"/>
  </w:num>
  <w:num w:numId="3">
    <w:abstractNumId w:val="15"/>
  </w:num>
  <w:num w:numId="4">
    <w:abstractNumId w:val="13"/>
  </w:num>
  <w:num w:numId="5">
    <w:abstractNumId w:val="18"/>
  </w:num>
  <w:num w:numId="6">
    <w:abstractNumId w:val="11"/>
  </w:num>
  <w:num w:numId="7">
    <w:abstractNumId w:val="4"/>
  </w:num>
  <w:num w:numId="8">
    <w:abstractNumId w:val="3"/>
  </w:num>
  <w:num w:numId="9">
    <w:abstractNumId w:val="17"/>
  </w:num>
  <w:num w:numId="10">
    <w:abstractNumId w:val="6"/>
  </w:num>
  <w:num w:numId="11">
    <w:abstractNumId w:val="16"/>
  </w:num>
  <w:num w:numId="12">
    <w:abstractNumId w:val="12"/>
  </w:num>
  <w:num w:numId="13">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
  </w:num>
  <w:num w:numId="15">
    <w:abstractNumId w:val="9"/>
  </w:num>
  <w:num w:numId="16">
    <w:abstractNumId w:val="8"/>
  </w:num>
  <w:num w:numId="17">
    <w:abstractNumId w:val="0"/>
  </w:num>
  <w:num w:numId="18">
    <w:abstractNumId w:val="2"/>
  </w:num>
  <w:num w:numId="19">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409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5555"/>
    <w:rsid w:val="0001762F"/>
    <w:rsid w:val="00022D87"/>
    <w:rsid w:val="00042B85"/>
    <w:rsid w:val="000434EA"/>
    <w:rsid w:val="0005450A"/>
    <w:rsid w:val="000639BB"/>
    <w:rsid w:val="000707B5"/>
    <w:rsid w:val="000716CF"/>
    <w:rsid w:val="00073907"/>
    <w:rsid w:val="00082367"/>
    <w:rsid w:val="00091352"/>
    <w:rsid w:val="0009691A"/>
    <w:rsid w:val="00097108"/>
    <w:rsid w:val="000A24C4"/>
    <w:rsid w:val="000B1F92"/>
    <w:rsid w:val="000B6681"/>
    <w:rsid w:val="000C6D3A"/>
    <w:rsid w:val="000E4EFE"/>
    <w:rsid w:val="000E5D56"/>
    <w:rsid w:val="000F3B8E"/>
    <w:rsid w:val="001034ED"/>
    <w:rsid w:val="00106632"/>
    <w:rsid w:val="001127E6"/>
    <w:rsid w:val="0013388C"/>
    <w:rsid w:val="0014660A"/>
    <w:rsid w:val="0015178E"/>
    <w:rsid w:val="00151B76"/>
    <w:rsid w:val="00154283"/>
    <w:rsid w:val="0015690D"/>
    <w:rsid w:val="0015725E"/>
    <w:rsid w:val="001734AE"/>
    <w:rsid w:val="00181C2E"/>
    <w:rsid w:val="00183788"/>
    <w:rsid w:val="0018734D"/>
    <w:rsid w:val="001975D0"/>
    <w:rsid w:val="001A0E35"/>
    <w:rsid w:val="001A6F28"/>
    <w:rsid w:val="001B6829"/>
    <w:rsid w:val="001C1BC2"/>
    <w:rsid w:val="001D58C8"/>
    <w:rsid w:val="001D5B71"/>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D48AE"/>
    <w:rsid w:val="002D5304"/>
    <w:rsid w:val="002E449E"/>
    <w:rsid w:val="002E5095"/>
    <w:rsid w:val="002E6DA3"/>
    <w:rsid w:val="002F2883"/>
    <w:rsid w:val="0030629D"/>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D2D62"/>
    <w:rsid w:val="003E117E"/>
    <w:rsid w:val="003E7389"/>
    <w:rsid w:val="003E7F33"/>
    <w:rsid w:val="003F2E43"/>
    <w:rsid w:val="00406983"/>
    <w:rsid w:val="00413337"/>
    <w:rsid w:val="0041350B"/>
    <w:rsid w:val="00416A6D"/>
    <w:rsid w:val="00417B9F"/>
    <w:rsid w:val="00430958"/>
    <w:rsid w:val="00431B2F"/>
    <w:rsid w:val="00433D18"/>
    <w:rsid w:val="00462DB8"/>
    <w:rsid w:val="00463306"/>
    <w:rsid w:val="00465950"/>
    <w:rsid w:val="00470BED"/>
    <w:rsid w:val="00474834"/>
    <w:rsid w:val="004779FD"/>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82944"/>
    <w:rsid w:val="005966A8"/>
    <w:rsid w:val="005B293A"/>
    <w:rsid w:val="005B523F"/>
    <w:rsid w:val="005B657A"/>
    <w:rsid w:val="005C091C"/>
    <w:rsid w:val="005C570B"/>
    <w:rsid w:val="005C76A1"/>
    <w:rsid w:val="005D01D9"/>
    <w:rsid w:val="005E7A75"/>
    <w:rsid w:val="005F5729"/>
    <w:rsid w:val="005F7B42"/>
    <w:rsid w:val="005F7CA9"/>
    <w:rsid w:val="00604A6A"/>
    <w:rsid w:val="00611159"/>
    <w:rsid w:val="0061331D"/>
    <w:rsid w:val="00633477"/>
    <w:rsid w:val="00643134"/>
    <w:rsid w:val="006459EE"/>
    <w:rsid w:val="006560A4"/>
    <w:rsid w:val="0068379D"/>
    <w:rsid w:val="006923D7"/>
    <w:rsid w:val="00693674"/>
    <w:rsid w:val="006A7EF1"/>
    <w:rsid w:val="006B0512"/>
    <w:rsid w:val="006B3527"/>
    <w:rsid w:val="006B5613"/>
    <w:rsid w:val="006C075C"/>
    <w:rsid w:val="006C6768"/>
    <w:rsid w:val="006C783E"/>
    <w:rsid w:val="006D2F42"/>
    <w:rsid w:val="006E1A7D"/>
    <w:rsid w:val="006F104C"/>
    <w:rsid w:val="006F2038"/>
    <w:rsid w:val="006F50E8"/>
    <w:rsid w:val="007100BD"/>
    <w:rsid w:val="00736C17"/>
    <w:rsid w:val="00736C4F"/>
    <w:rsid w:val="00751373"/>
    <w:rsid w:val="00763B5C"/>
    <w:rsid w:val="00772DE4"/>
    <w:rsid w:val="00773ABF"/>
    <w:rsid w:val="0077584C"/>
    <w:rsid w:val="00776312"/>
    <w:rsid w:val="00791932"/>
    <w:rsid w:val="007A078A"/>
    <w:rsid w:val="007A2617"/>
    <w:rsid w:val="007A28BA"/>
    <w:rsid w:val="007B2E39"/>
    <w:rsid w:val="007C2733"/>
    <w:rsid w:val="007C63C4"/>
    <w:rsid w:val="007E4EE0"/>
    <w:rsid w:val="007F2D9F"/>
    <w:rsid w:val="007F5448"/>
    <w:rsid w:val="007F6520"/>
    <w:rsid w:val="007F66E1"/>
    <w:rsid w:val="00806D18"/>
    <w:rsid w:val="00810C60"/>
    <w:rsid w:val="00851DF8"/>
    <w:rsid w:val="008521A2"/>
    <w:rsid w:val="008A7300"/>
    <w:rsid w:val="008C141D"/>
    <w:rsid w:val="008C49B1"/>
    <w:rsid w:val="008D775E"/>
    <w:rsid w:val="008E09AA"/>
    <w:rsid w:val="008E4413"/>
    <w:rsid w:val="008E4D2D"/>
    <w:rsid w:val="008E6037"/>
    <w:rsid w:val="008F0F40"/>
    <w:rsid w:val="008F7F4F"/>
    <w:rsid w:val="00902E9C"/>
    <w:rsid w:val="00911199"/>
    <w:rsid w:val="009165F2"/>
    <w:rsid w:val="009367AA"/>
    <w:rsid w:val="0095215C"/>
    <w:rsid w:val="0095217A"/>
    <w:rsid w:val="00952376"/>
    <w:rsid w:val="00954FBE"/>
    <w:rsid w:val="0095592A"/>
    <w:rsid w:val="00957C60"/>
    <w:rsid w:val="00964097"/>
    <w:rsid w:val="00970B70"/>
    <w:rsid w:val="00970E8E"/>
    <w:rsid w:val="00971FA7"/>
    <w:rsid w:val="00972E38"/>
    <w:rsid w:val="009739C8"/>
    <w:rsid w:val="00975BAF"/>
    <w:rsid w:val="009A5BA4"/>
    <w:rsid w:val="009C3987"/>
    <w:rsid w:val="009D6291"/>
    <w:rsid w:val="009D6F69"/>
    <w:rsid w:val="009E049D"/>
    <w:rsid w:val="009E5D6E"/>
    <w:rsid w:val="009E6D54"/>
    <w:rsid w:val="009F305C"/>
    <w:rsid w:val="00A167C6"/>
    <w:rsid w:val="00A200D3"/>
    <w:rsid w:val="00A242D8"/>
    <w:rsid w:val="00A3532A"/>
    <w:rsid w:val="00A35656"/>
    <w:rsid w:val="00A369BB"/>
    <w:rsid w:val="00A36E8B"/>
    <w:rsid w:val="00A42D79"/>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34F11"/>
    <w:rsid w:val="00B44494"/>
    <w:rsid w:val="00B66AF3"/>
    <w:rsid w:val="00B71AEA"/>
    <w:rsid w:val="00B74489"/>
    <w:rsid w:val="00B8102F"/>
    <w:rsid w:val="00B818CA"/>
    <w:rsid w:val="00B97297"/>
    <w:rsid w:val="00B979B1"/>
    <w:rsid w:val="00BA539B"/>
    <w:rsid w:val="00BA71B8"/>
    <w:rsid w:val="00BB553B"/>
    <w:rsid w:val="00BD7158"/>
    <w:rsid w:val="00C04BE1"/>
    <w:rsid w:val="00C057EA"/>
    <w:rsid w:val="00C05B22"/>
    <w:rsid w:val="00C141AF"/>
    <w:rsid w:val="00C175B6"/>
    <w:rsid w:val="00C210B4"/>
    <w:rsid w:val="00C22A2E"/>
    <w:rsid w:val="00C309C0"/>
    <w:rsid w:val="00C30B8D"/>
    <w:rsid w:val="00C47725"/>
    <w:rsid w:val="00C605D4"/>
    <w:rsid w:val="00C94E79"/>
    <w:rsid w:val="00CA1CE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751F5"/>
    <w:rsid w:val="00D815D9"/>
    <w:rsid w:val="00D855E8"/>
    <w:rsid w:val="00DA69E7"/>
    <w:rsid w:val="00DB1DCD"/>
    <w:rsid w:val="00DC4AE7"/>
    <w:rsid w:val="00DD4950"/>
    <w:rsid w:val="00DE10A6"/>
    <w:rsid w:val="00DF78A7"/>
    <w:rsid w:val="00E07CA1"/>
    <w:rsid w:val="00E263EC"/>
    <w:rsid w:val="00E2664F"/>
    <w:rsid w:val="00E27187"/>
    <w:rsid w:val="00E358E4"/>
    <w:rsid w:val="00E362E3"/>
    <w:rsid w:val="00E44F28"/>
    <w:rsid w:val="00E45B48"/>
    <w:rsid w:val="00E50AD6"/>
    <w:rsid w:val="00E51B2C"/>
    <w:rsid w:val="00E613BC"/>
    <w:rsid w:val="00E66CDC"/>
    <w:rsid w:val="00E67E00"/>
    <w:rsid w:val="00E74F47"/>
    <w:rsid w:val="00E7517D"/>
    <w:rsid w:val="00E832EA"/>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20CC"/>
    <w:rsid w:val="00FC079B"/>
    <w:rsid w:val="00FD54D7"/>
    <w:rsid w:val="00FF37F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4097"/>
    <o:shapelayout v:ext="edit">
      <o:idmap v:ext="edit" data="1"/>
    </o:shapelayout>
  </w:shapeDefaults>
  <w:decimalSymbol w:val="."/>
  <w:listSeparator w:val=","/>
  <w14:docId w14:val="6B1EF2FD"/>
  <w15:docId w15:val="{CD837B9E-E83F-4E95-832E-9DA5F2F3B71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UnresolvedMention">
    <w:name w:val="Unresolved Mention"/>
    <w:basedOn w:val="DefaultParagraphFont"/>
    <w:uiPriority w:val="99"/>
    <w:semiHidden/>
    <w:unhideWhenUsed/>
    <w:rsid w:val="00465950"/>
    <w:rPr>
      <w:color w:val="605E5C"/>
      <w:shd w:val="clear" w:color="auto" w:fill="E1DFDD"/>
    </w:rPr>
  </w:style>
  <w:style w:type="paragraph" w:customStyle="1" w:styleId="New-AParagraph">
    <w:name w:val="New-A_Paragraph"/>
    <w:qFormat/>
    <w:rsid w:val="0095592A"/>
    <w:pPr>
      <w:suppressAutoHyphens/>
      <w:spacing w:after="210" w:line="264" w:lineRule="auto"/>
    </w:pPr>
    <w:rPr>
      <w:rFonts w:ascii="Times New Roman" w:eastAsia="Times New Roman" w:hAnsi="Times New Roman" w:cs="Times New Roman"/>
      <w:sz w:val="21"/>
      <w:szCs w:val="20"/>
    </w:rPr>
  </w:style>
  <w:style w:type="paragraph" w:styleId="BodyText">
    <w:name w:val="Body Text"/>
    <w:basedOn w:val="Normal"/>
    <w:link w:val="BodyTextChar"/>
    <w:uiPriority w:val="1"/>
    <w:semiHidden/>
    <w:unhideWhenUsed/>
    <w:qFormat/>
    <w:rsid w:val="00582944"/>
    <w:pPr>
      <w:widowControl w:val="0"/>
      <w:autoSpaceDE w:val="0"/>
      <w:autoSpaceDN w:val="0"/>
      <w:adjustRightInd w:val="0"/>
      <w:spacing w:before="64" w:after="0" w:line="240" w:lineRule="auto"/>
      <w:ind w:left="845"/>
    </w:pPr>
    <w:rPr>
      <w:rFonts w:ascii="Arial" w:eastAsiaTheme="minorEastAsia" w:hAnsi="Arial" w:cs="Arial"/>
      <w:sz w:val="19"/>
      <w:szCs w:val="19"/>
      <w:lang w:val="en-GB" w:eastAsia="en-GB"/>
    </w:rPr>
  </w:style>
  <w:style w:type="character" w:customStyle="1" w:styleId="BodyTextChar">
    <w:name w:val="Body Text Char"/>
    <w:basedOn w:val="DefaultParagraphFont"/>
    <w:link w:val="BodyText"/>
    <w:uiPriority w:val="1"/>
    <w:semiHidden/>
    <w:rsid w:val="00582944"/>
    <w:rPr>
      <w:rFonts w:ascii="Arial" w:eastAsiaTheme="minorEastAsia" w:hAnsi="Arial" w:cs="Arial"/>
      <w:sz w:val="19"/>
      <w:szCs w:val="19"/>
      <w:lang w:val="en-GB" w:eastAsia="en-GB"/>
    </w:rPr>
  </w:style>
  <w:style w:type="paragraph" w:customStyle="1" w:styleId="CarattereCarattereCharCharCharCharCharCharZchn">
    <w:name w:val="Carattere Carattere Char Char Char Char Char Char Zchn"/>
    <w:aliases w:val="ftref Char Char Char Char Char Char Zchn,Char Char Char Char Char Char Char Char Zchn,ftref Char Char Char1 Zchn,Carattere Carattere Char Char Char Char Char Char Char Zchn"/>
    <w:basedOn w:val="Normal"/>
    <w:next w:val="Normal"/>
    <w:uiPriority w:val="99"/>
    <w:rsid w:val="00582944"/>
    <w:pPr>
      <w:spacing w:after="120" w:line="240" w:lineRule="exact"/>
    </w:pPr>
    <w:rPr>
      <w:rFonts w:eastAsiaTheme="minorEastAsia"/>
      <w:vertAlign w:val="superscript"/>
      <w:lang w:val="en-GB" w:eastAsia="zh-CN"/>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530866" w:rsidP="00530866">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530866" w:rsidP="00530866">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530866" w:rsidP="00530866">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530866" w:rsidP="00530866">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111E50"/>
    <w:rsid w:val="00296525"/>
    <w:rsid w:val="0036646D"/>
    <w:rsid w:val="003700AB"/>
    <w:rsid w:val="00530866"/>
    <w:rsid w:val="006153AA"/>
    <w:rsid w:val="00623E55"/>
    <w:rsid w:val="0064052E"/>
    <w:rsid w:val="00760A1F"/>
    <w:rsid w:val="00984F43"/>
    <w:rsid w:val="00AA69E6"/>
    <w:rsid w:val="00C6632A"/>
    <w:rsid w:val="00CD7715"/>
    <w:rsid w:val="00DA061B"/>
    <w:rsid w:val="00E21F80"/>
    <w:rsid w:val="00E4246B"/>
    <w:rsid w:val="00E95A44"/>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84F43"/>
    <w:rPr>
      <w:color w:val="808080"/>
    </w:rPr>
  </w:style>
  <w:style w:type="paragraph" w:customStyle="1" w:styleId="AC4C4D2681C1478B808B26B73E0AC72E1">
    <w:name w:val="AC4C4D2681C1478B808B26B73E0AC72E1"/>
    <w:rsid w:val="00C6632A"/>
    <w:rPr>
      <w:rFonts w:eastAsiaTheme="minorHAnsi"/>
    </w:rPr>
  </w:style>
  <w:style w:type="paragraph" w:customStyle="1" w:styleId="DB7371FC7ED840DFBDF71FAA6B56F8451">
    <w:name w:val="DB7371FC7ED840DFBDF71FAA6B56F8451"/>
    <w:rsid w:val="00C6632A"/>
    <w:rPr>
      <w:rFonts w:eastAsiaTheme="minorHAnsi"/>
    </w:rPr>
  </w:style>
  <w:style w:type="paragraph" w:customStyle="1" w:styleId="BE0DD80F803347FDB216398955CD3FB91">
    <w:name w:val="BE0DD80F803347FDB216398955CD3FB91"/>
    <w:rsid w:val="00C6632A"/>
    <w:rPr>
      <w:rFonts w:eastAsiaTheme="minorHAnsi"/>
    </w:rPr>
  </w:style>
  <w:style w:type="paragraph" w:customStyle="1" w:styleId="56518A61C4FB476588FF84435CA4EDBA1">
    <w:name w:val="56518A61C4FB476588FF84435CA4EDBA1"/>
    <w:rsid w:val="00C6632A"/>
    <w:rPr>
      <w:rFonts w:eastAsiaTheme="minorHAnsi"/>
    </w:rPr>
  </w:style>
  <w:style w:type="paragraph" w:customStyle="1" w:styleId="AC4C4D2681C1478B808B26B73E0AC72E">
    <w:name w:val="AC4C4D2681C1478B808B26B73E0AC72E"/>
    <w:rsid w:val="00530866"/>
    <w:rPr>
      <w:rFonts w:eastAsiaTheme="minorHAnsi"/>
    </w:rPr>
  </w:style>
  <w:style w:type="paragraph" w:customStyle="1" w:styleId="DB7371FC7ED840DFBDF71FAA6B56F845">
    <w:name w:val="DB7371FC7ED840DFBDF71FAA6B56F845"/>
    <w:rsid w:val="00530866"/>
    <w:rPr>
      <w:rFonts w:eastAsiaTheme="minorHAnsi"/>
    </w:rPr>
  </w:style>
  <w:style w:type="paragraph" w:customStyle="1" w:styleId="BE0DD80F803347FDB216398955CD3FB9">
    <w:name w:val="BE0DD80F803347FDB216398955CD3FB9"/>
    <w:rsid w:val="00530866"/>
    <w:rPr>
      <w:rFonts w:eastAsiaTheme="minorHAnsi"/>
    </w:rPr>
  </w:style>
  <w:style w:type="paragraph" w:customStyle="1" w:styleId="56518A61C4FB476588FF84435CA4EDBA">
    <w:name w:val="56518A61C4FB476588FF84435CA4EDBA"/>
    <w:rsid w:val="00530866"/>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BF1F980E-0A64-4686-8444-41D8D7E47B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1611</TotalTime>
  <Pages>14</Pages>
  <Words>3686</Words>
  <Characters>1448131</Characters>
  <Application>Microsoft Office Word</Application>
  <DocSecurity>8</DocSecurity>
  <Lines>12067</Lines>
  <Paragraphs>2897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1448920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Maureen</cp:lastModifiedBy>
  <cp:revision>4</cp:revision>
  <cp:lastPrinted>2020-04-16T14:23:00Z</cp:lastPrinted>
  <dcterms:created xsi:type="dcterms:W3CDTF">2024-05-05T11:19:00Z</dcterms:created>
  <dcterms:modified xsi:type="dcterms:W3CDTF">2024-05-07T16:54:00Z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GrammarlyDocumentId">
    <vt:lpwstr>e3f5f5f5cdf182ccc5445a4fcb85ca8102948021b23b09c310068e722ae3247a</vt:lpwstr>
  </property>
</Properties>
</file>