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6FF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6FF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6FF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6FF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6FF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6FF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6FF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6FF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6FF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6FF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6FF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6FF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6FF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8ABA421" w:rsidR="00B66AF3" w:rsidRDefault="00BC5494" w:rsidP="00B66AF3">
          <w:r>
            <w:t>17.1.2 Proportion of domestic budget funded by domestic taxes [17.1.2] (GC_GOB_TAXD)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CCCFC7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50FCB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3EBE433" w:rsidR="005377B9" w:rsidRPr="009F305C" w:rsidRDefault="00EA0206" w:rsidP="00270530">
            <w:r>
              <w:t>PROPORTION OF</w:t>
            </w:r>
            <w:r w:rsidR="00BC5494">
              <w:t xml:space="preserve"> DOMESTIC</w:t>
            </w:r>
            <w:r>
              <w:t xml:space="preserve"> </w:t>
            </w:r>
            <w:r w:rsidR="00BC5494">
              <w:t xml:space="preserve">BUDGET </w:t>
            </w:r>
            <w:r w:rsidR="00270530">
              <w:t>FUNDED BY DOMESTIC TAXES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FE08076" w:rsidR="005377B9" w:rsidRPr="009F305C" w:rsidRDefault="00EA0206" w:rsidP="008F66CD">
            <w:pPr>
              <w:pStyle w:val="MGTHeader"/>
            </w:pPr>
            <w:r>
              <w:t xml:space="preserve">Goal </w:t>
            </w:r>
            <w:r w:rsidR="008F66CD">
              <w:t>1</w:t>
            </w:r>
            <w:r>
              <w:t xml:space="preserve">7: </w:t>
            </w:r>
            <w:r w:rsidR="008F66CD" w:rsidRPr="00176F65">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41DDF4" w:rsidR="005377B9" w:rsidRPr="009F305C" w:rsidRDefault="008F66CD" w:rsidP="008F66CD">
            <w:pPr>
              <w:pStyle w:val="MGTHeader"/>
            </w:pPr>
            <w:r>
              <w:t>1</w:t>
            </w:r>
            <w:r w:rsidR="007E4A28">
              <w:t xml:space="preserve">7.1: </w:t>
            </w:r>
            <w:r w:rsidRPr="00176F65">
              <w:t>Strengthen domestic resource mobilization, including through international support to developing countries, to improve domestic capacity for tax and other revenue collection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6002427" w:rsidR="005377B9" w:rsidRPr="009F305C" w:rsidRDefault="008F66CD" w:rsidP="00CA188D">
            <w:pPr>
              <w:pStyle w:val="MGTHeader"/>
            </w:pPr>
            <w:r>
              <w:t>1</w:t>
            </w:r>
            <w:r w:rsidR="00270530">
              <w:t>7.1.2</w:t>
            </w:r>
            <w:r w:rsidR="007E4A28">
              <w:t xml:space="preserve">: </w:t>
            </w:r>
            <w:r w:rsidR="00270530" w:rsidRPr="00CD5600">
              <w:t>Proportion of domestic budget funded by domestic taxes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D112556"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7CAAA7" w:rsidR="005377B9" w:rsidRPr="009F305C" w:rsidRDefault="00C613DE" w:rsidP="009F305C">
            <w:r>
              <w:t>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A079F57" w:rsidR="005377B9" w:rsidRPr="009F305C" w:rsidRDefault="00CA188D" w:rsidP="009F305C">
            <w:r w:rsidRPr="00176F65">
              <w:t>17.1.1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61481A" w:rsidR="005377B9" w:rsidRPr="009F305C" w:rsidRDefault="00626D7C"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BBA080" w:rsidR="003E7389" w:rsidRPr="009F305C" w:rsidRDefault="00A220AB" w:rsidP="002A7797">
            <w:r>
              <w:t xml:space="preserve">Director </w:t>
            </w:r>
            <w:r w:rsidR="002A7797">
              <w:t>Macroeconomics 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7E15893" w:rsidR="003E7389" w:rsidRPr="009F305C" w:rsidRDefault="00A220AB" w:rsidP="002A7797">
            <w:r>
              <w:t xml:space="preserve">Directorate of </w:t>
            </w:r>
            <w:r w:rsidR="002A7797">
              <w:t>Macroeconomics</w:t>
            </w:r>
            <w:r>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64EC4E" w:rsidR="003E7389" w:rsidRPr="009F305C" w:rsidRDefault="002A7797" w:rsidP="009F305C">
            <w:r>
              <w:t>Production and D</w:t>
            </w:r>
            <w:r w:rsidR="00A220AB">
              <w:t xml:space="preserve">issemination of </w:t>
            </w:r>
            <w:r>
              <w:t>Macroeconomics S</w:t>
            </w:r>
            <w:r w:rsidR="00A220AB">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179C593" w:rsidR="003E7389" w:rsidRPr="009F305C" w:rsidRDefault="00630820"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F931205" w14:textId="6A1CFCF8" w:rsidR="00D214DE" w:rsidRPr="00D214DE" w:rsidRDefault="002B7219" w:rsidP="00D214DE">
            <w:pPr>
              <w:pStyle w:val="NormalWeb"/>
              <w:spacing w:before="0" w:beforeAutospacing="0" w:after="160" w:afterAutospacing="0"/>
            </w:pPr>
            <w:r>
              <w:rPr>
                <w:b/>
              </w:rPr>
              <w:t xml:space="preserve"> </w:t>
            </w:r>
            <w:r w:rsidR="00D214DE" w:rsidRPr="00D214DE">
              <w:rPr>
                <w:rFonts w:ascii="Calibri" w:hAnsi="Calibri" w:cs="Calibri"/>
                <w:color w:val="000000"/>
                <w:sz w:val="22"/>
                <w:szCs w:val="22"/>
              </w:rPr>
              <w:t xml:space="preserve">Proportion of </w:t>
            </w:r>
            <w:r w:rsidR="00D214DE">
              <w:rPr>
                <w:rFonts w:ascii="Calibri" w:hAnsi="Calibri" w:cs="Calibri"/>
                <w:color w:val="000000"/>
                <w:sz w:val="22"/>
                <w:szCs w:val="22"/>
              </w:rPr>
              <w:t>domestic budget funded by domestic taxes</w:t>
            </w:r>
          </w:p>
          <w:p w14:paraId="6C84E827" w14:textId="4D521ACC" w:rsidR="00134C27" w:rsidRPr="00D214DE" w:rsidRDefault="00D214DE" w:rsidP="00D214DE">
            <w:pPr>
              <w:spacing w:line="240" w:lineRule="auto"/>
              <w:rPr>
                <w:rFonts w:ascii="Times New Roman" w:eastAsia="Times New Roman" w:hAnsi="Times New Roman" w:cs="Times New Roman"/>
                <w:sz w:val="24"/>
                <w:szCs w:val="24"/>
              </w:rPr>
            </w:pPr>
            <w:r>
              <w:t>Domestic budget is an institutional unit of the general government sector particularly important in terms of size and power, particularly the power to exercise control over many other units and entities.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9F45CC" w:rsidR="0015178E" w:rsidRPr="009F305C" w:rsidRDefault="00D66D3F" w:rsidP="00D66D3F">
            <w:pPr>
              <w:pStyle w:val="MText"/>
            </w:pPr>
            <w:r>
              <w:t>Percent (%) of GDP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60EA938" w:rsidR="0015178E" w:rsidRPr="009F305C" w:rsidRDefault="00D66D3F" w:rsidP="00C31530">
            <w:pPr>
              <w:pStyle w:val="MText"/>
            </w:pPr>
            <w:r>
              <w:t>GFSM 2014</w:t>
            </w:r>
            <w:r w:rsidR="008A3DA1">
              <w:t>, ISIC Rev. 4</w:t>
            </w:r>
            <w:r w:rsidR="00A26DA9">
              <w:t>, Systems of National Accounts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0B9E6B" w:rsidR="0035311B" w:rsidRPr="009F305C" w:rsidRDefault="00C31530" w:rsidP="00A26DA9">
            <w:pPr>
              <w:pStyle w:val="MText"/>
            </w:pPr>
            <w:r w:rsidRPr="00CD5600">
              <w:t xml:space="preserve">The actual and recommended sources of data for deriving this indicator are the fiscal statistics reported to the IMF’s Statistics Department. </w:t>
            </w:r>
            <w:r w:rsidR="00BD5976">
              <w:t xml:space="preserve"> KNBS data is reported in the </w:t>
            </w:r>
            <w:r w:rsidR="00943E08">
              <w:t>Economic Survey</w:t>
            </w:r>
            <w:r>
              <w:t xml:space="preserve"> from</w:t>
            </w:r>
            <w:r w:rsidR="007003B6">
              <w:t xml:space="preserve"> Administrative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2BC8506" w:rsidR="0035311B" w:rsidRPr="009F305C" w:rsidRDefault="0083498D" w:rsidP="007003B6">
            <w:r>
              <w:t>A</w:t>
            </w:r>
            <w:r w:rsidR="007003B6">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48F3FE6" w:rsidR="0035311B" w:rsidRPr="009F305C" w:rsidRDefault="007003B6" w:rsidP="007003B6">
            <w:r>
              <w:t xml:space="preserve">Annual </w:t>
            </w:r>
            <w:r w:rsidR="0083498D">
              <w:t>Economic Survey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7C5FAF" w:rsidR="0035311B" w:rsidRPr="009F305C" w:rsidRDefault="007003B6" w:rsidP="00564845">
            <w:r>
              <w:t>End of 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F6F431" w:rsidR="0035311B" w:rsidRPr="009F305C" w:rsidRDefault="0083498D" w:rsidP="007003B6">
            <w:r>
              <w:t xml:space="preserve"> Stakeholders (Administrative Data)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D03CD33" w:rsidR="007F2D9F" w:rsidRPr="009F305C" w:rsidRDefault="00BD5976" w:rsidP="00A26DA9">
            <w:pPr>
              <w:pStyle w:val="MText"/>
              <w:jc w:val="both"/>
            </w:pPr>
            <w:r w:rsidRPr="00CD5600">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BD47E2F" w:rsidR="007F2D9F" w:rsidRPr="00214EF7" w:rsidRDefault="00A26DA9" w:rsidP="00A26DA9">
            <w:pPr>
              <w:pStyle w:val="MText"/>
              <w:jc w:val="both"/>
            </w:pPr>
            <w:r>
              <w:t xml:space="preserve"> No major issue</w:t>
            </w:r>
            <w:r w:rsidR="00214EF7">
              <w:t xml:space="preserve"> in terms of the feasib</w:t>
            </w:r>
            <w:r>
              <w:t xml:space="preserve">ility and suitability in reporting the indicator.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E2C56FD" w:rsidR="007F2D9F" w:rsidRPr="009F305C" w:rsidRDefault="007F2D9F" w:rsidP="00722D3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0E8ADB6" w:rsidR="007F2D9F" w:rsidRPr="009F305C" w:rsidRDefault="000C1EB3" w:rsidP="00F15888">
            <w:pPr>
              <w:pStyle w:val="MText"/>
            </w:pPr>
            <w:r>
              <w:rPr>
                <w:i/>
              </w:rPr>
              <w:t xml:space="preserve">GFSM 2014,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7C0EE3" w:rsidR="007F2D9F" w:rsidRPr="009F305C" w:rsidRDefault="00235F06" w:rsidP="00235F06">
            <w:pPr>
              <w:pStyle w:val="MText"/>
            </w:pPr>
            <w:r w:rsidRPr="00497B78">
              <w:t>N</w:t>
            </w:r>
            <w:r>
              <w:t>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FB134D8" w:rsidR="007F2D9F" w:rsidRPr="009F305C" w:rsidRDefault="007807A2" w:rsidP="007807A2">
            <w:pPr>
              <w:pStyle w:val="MText"/>
              <w:jc w:val="both"/>
            </w:pPr>
            <w:r w:rsidRPr="00176F65">
              <w:t>The IMF plans to rely exclusively on officially reported data provided by the national authorities using the standard GFS questionnaire based on GFSM 2014 methodology. No country data estimates for missing values will be calculated by the IMF Statistics Department. Where country data are not available due to a lack of reporting to the IMF Statistics Department, we plan to engage in outreach to the national authorities, in consultation with the respective IMF Area Departments and Offices of the Executive Director, as needed, to ensure that the key GFS series are reported.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F673FB6" w:rsidR="007F2D9F" w:rsidRPr="009F305C" w:rsidRDefault="007807A2" w:rsidP="007807A2">
            <w:pPr>
              <w:pStyle w:val="MText"/>
              <w:jc w:val="both"/>
            </w:pPr>
            <w:r w:rsidRPr="00176F65">
              <w:t>The IMF Statistics Department will leverage the existing GFS database to provide cross-country comparable series in a standardized presentation format.</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13B1175" w14:textId="77777777" w:rsidR="00C64457" w:rsidRDefault="00C64457" w:rsidP="00C64457">
            <w:pPr>
              <w:pStyle w:val="MText"/>
            </w:pPr>
            <w:r>
              <w:t xml:space="preserve">GFS budgetary central government revenue series - collected in Table 1 of the annual </w:t>
            </w:r>
            <w:hyperlink r:id="rId21" w:history="1">
              <w:r w:rsidRPr="00F42119">
                <w:rPr>
                  <w:rStyle w:val="Hyperlink"/>
                </w:rPr>
                <w:t>GFS Questionnaire</w:t>
              </w:r>
            </w:hyperlink>
            <w:r>
              <w:t xml:space="preserve"> provided to all countries - will be combined with series on budgetary central government expenditure (actual execution of the main budget) on “expense” plus the “net acquisition of non-financial assets”, as defined in </w:t>
            </w:r>
            <w:r>
              <w:rPr>
                <w:i/>
              </w:rPr>
              <w:t>GFSM 2014</w:t>
            </w:r>
            <w:r>
              <w:t xml:space="preserve">).  GFS Expenditure series are reported by the economic classification in Tables 2, and 3 (items under code 31). Alternatively, for those countries that report total expenditure according to the functional classification (COFOG) in GFS Table 7, a similar calculation can be made. The </w:t>
            </w:r>
            <w:r>
              <w:rPr>
                <w:i/>
              </w:rPr>
              <w:t>Proportion of domestic budgetary central government expenditure funded by taxes</w:t>
            </w:r>
            <w:r>
              <w:t xml:space="preserve"> will be calculated as (Taxes / Expenditure expressed as a %) using the following data series: An Example: Calculation of SDG Indicator 17.1.2</w:t>
            </w:r>
            <w:r>
              <w:br/>
            </w:r>
          </w:p>
          <w:tbl>
            <w:tblPr>
              <w:tblW w:w="5060" w:type="dxa"/>
              <w:tblInd w:w="612" w:type="dxa"/>
              <w:tblLayout w:type="fixed"/>
              <w:tblLook w:val="04A0" w:firstRow="1" w:lastRow="0" w:firstColumn="1" w:lastColumn="0" w:noHBand="0" w:noVBand="1"/>
            </w:tblPr>
            <w:tblGrid>
              <w:gridCol w:w="1596"/>
              <w:gridCol w:w="606"/>
              <w:gridCol w:w="606"/>
              <w:gridCol w:w="1646"/>
              <w:gridCol w:w="606"/>
            </w:tblGrid>
            <w:tr w:rsidR="00C64457" w:rsidRPr="00C64457" w14:paraId="0CF986EC" w14:textId="77777777" w:rsidTr="00C64457">
              <w:trPr>
                <w:trHeight w:val="338"/>
              </w:trPr>
              <w:tc>
                <w:tcPr>
                  <w:tcW w:w="1596" w:type="dxa"/>
                  <w:tcBorders>
                    <w:top w:val="nil"/>
                    <w:left w:val="nil"/>
                    <w:bottom w:val="nil"/>
                    <w:right w:val="nil"/>
                  </w:tcBorders>
                  <w:shd w:val="clear" w:color="000000" w:fill="D9D9D9"/>
                  <w:noWrap/>
                  <w:vAlign w:val="bottom"/>
                  <w:hideMark/>
                </w:tcPr>
                <w:p w14:paraId="12198561" w14:textId="77777777" w:rsidR="00C64457" w:rsidRPr="00C64457" w:rsidRDefault="00C64457" w:rsidP="00C64457">
                  <w:pPr>
                    <w:spacing w:after="0" w:line="240" w:lineRule="auto"/>
                    <w:rPr>
                      <w:rFonts w:ascii="Calibri" w:eastAsia="Times New Roman" w:hAnsi="Calibri" w:cs="Calibri"/>
                      <w:b/>
                      <w:bCs/>
                      <w:color w:val="000000"/>
                      <w:sz w:val="18"/>
                      <w:szCs w:val="18"/>
                    </w:rPr>
                  </w:pPr>
                  <w:r w:rsidRPr="00C64457">
                    <w:rPr>
                      <w:rFonts w:ascii="Calibri" w:eastAsia="Times New Roman" w:hAnsi="Calibri" w:cs="Calibri"/>
                      <w:b/>
                      <w:bCs/>
                      <w:color w:val="000000"/>
                      <w:sz w:val="18"/>
                      <w:szCs w:val="18"/>
                    </w:rPr>
                    <w:t>Total Revenue</w:t>
                  </w:r>
                </w:p>
              </w:tc>
              <w:tc>
                <w:tcPr>
                  <w:tcW w:w="606" w:type="dxa"/>
                  <w:tcBorders>
                    <w:top w:val="nil"/>
                    <w:left w:val="nil"/>
                    <w:bottom w:val="nil"/>
                    <w:right w:val="nil"/>
                  </w:tcBorders>
                  <w:shd w:val="clear" w:color="000000" w:fill="D9D9D9"/>
                  <w:noWrap/>
                  <w:vAlign w:val="bottom"/>
                  <w:hideMark/>
                </w:tcPr>
                <w:p w14:paraId="781EA5D6" w14:textId="77777777" w:rsidR="00C64457" w:rsidRPr="00C64457" w:rsidRDefault="00C64457" w:rsidP="00C64457">
                  <w:pPr>
                    <w:spacing w:after="0" w:line="240" w:lineRule="auto"/>
                    <w:jc w:val="right"/>
                    <w:rPr>
                      <w:rFonts w:ascii="Calibri" w:eastAsia="Times New Roman" w:hAnsi="Calibri" w:cs="Calibri"/>
                      <w:b/>
                      <w:bCs/>
                      <w:color w:val="000000"/>
                      <w:sz w:val="18"/>
                      <w:szCs w:val="18"/>
                    </w:rPr>
                  </w:pPr>
                  <w:r w:rsidRPr="00C64457">
                    <w:rPr>
                      <w:rFonts w:ascii="Calibri" w:eastAsia="Times New Roman" w:hAnsi="Calibri" w:cs="Calibri"/>
                      <w:b/>
                      <w:bCs/>
                      <w:color w:val="000000"/>
                      <w:sz w:val="18"/>
                      <w:szCs w:val="18"/>
                    </w:rPr>
                    <w:t>963</w:t>
                  </w:r>
                </w:p>
              </w:tc>
              <w:tc>
                <w:tcPr>
                  <w:tcW w:w="606" w:type="dxa"/>
                  <w:tcBorders>
                    <w:top w:val="nil"/>
                    <w:left w:val="nil"/>
                    <w:bottom w:val="nil"/>
                    <w:right w:val="nil"/>
                  </w:tcBorders>
                  <w:shd w:val="clear" w:color="000000" w:fill="D9D9D9"/>
                  <w:noWrap/>
                  <w:vAlign w:val="bottom"/>
                  <w:hideMark/>
                </w:tcPr>
                <w:p w14:paraId="4ACD0D82" w14:textId="77777777" w:rsidR="00C64457" w:rsidRPr="00C64457" w:rsidRDefault="00C64457" w:rsidP="00C64457">
                  <w:pPr>
                    <w:spacing w:after="0" w:line="240" w:lineRule="auto"/>
                    <w:rPr>
                      <w:rFonts w:ascii="Calibri" w:eastAsia="Times New Roman" w:hAnsi="Calibri" w:cs="Calibri"/>
                      <w:b/>
                      <w:bCs/>
                      <w:color w:val="000000"/>
                      <w:sz w:val="18"/>
                      <w:szCs w:val="18"/>
                    </w:rPr>
                  </w:pPr>
                  <w:r w:rsidRPr="00C64457">
                    <w:rPr>
                      <w:rFonts w:ascii="Calibri" w:eastAsia="Times New Roman" w:hAnsi="Calibri" w:cs="Calibri"/>
                      <w:b/>
                      <w:bCs/>
                      <w:color w:val="000000"/>
                      <w:sz w:val="18"/>
                      <w:szCs w:val="18"/>
                    </w:rPr>
                    <w:t> </w:t>
                  </w:r>
                </w:p>
              </w:tc>
              <w:tc>
                <w:tcPr>
                  <w:tcW w:w="1646" w:type="dxa"/>
                  <w:tcBorders>
                    <w:top w:val="nil"/>
                    <w:left w:val="nil"/>
                    <w:bottom w:val="nil"/>
                    <w:right w:val="nil"/>
                  </w:tcBorders>
                  <w:shd w:val="clear" w:color="000000" w:fill="D9D9D9"/>
                  <w:noWrap/>
                  <w:vAlign w:val="bottom"/>
                  <w:hideMark/>
                </w:tcPr>
                <w:p w14:paraId="378C1D5A" w14:textId="77777777" w:rsidR="00C64457" w:rsidRPr="00C64457" w:rsidRDefault="00C64457" w:rsidP="00C64457">
                  <w:pPr>
                    <w:spacing w:after="0" w:line="240" w:lineRule="auto"/>
                    <w:rPr>
                      <w:rFonts w:ascii="Calibri" w:eastAsia="Times New Roman" w:hAnsi="Calibri" w:cs="Calibri"/>
                      <w:b/>
                      <w:bCs/>
                      <w:color w:val="000000"/>
                      <w:sz w:val="18"/>
                      <w:szCs w:val="18"/>
                    </w:rPr>
                  </w:pPr>
                  <w:r w:rsidRPr="00C64457">
                    <w:rPr>
                      <w:rFonts w:ascii="Calibri" w:eastAsia="Times New Roman" w:hAnsi="Calibri" w:cs="Calibri"/>
                      <w:b/>
                      <w:bCs/>
                      <w:color w:val="000000"/>
                      <w:sz w:val="18"/>
                      <w:szCs w:val="18"/>
                    </w:rPr>
                    <w:t>Expenditure</w:t>
                  </w:r>
                </w:p>
              </w:tc>
              <w:tc>
                <w:tcPr>
                  <w:tcW w:w="606" w:type="dxa"/>
                  <w:tcBorders>
                    <w:top w:val="nil"/>
                    <w:left w:val="nil"/>
                    <w:bottom w:val="nil"/>
                    <w:right w:val="nil"/>
                  </w:tcBorders>
                  <w:shd w:val="clear" w:color="000000" w:fill="D9D9D9"/>
                  <w:noWrap/>
                  <w:vAlign w:val="bottom"/>
                  <w:hideMark/>
                </w:tcPr>
                <w:p w14:paraId="154ED978" w14:textId="77777777" w:rsidR="00C64457" w:rsidRPr="00C64457" w:rsidRDefault="00C64457" w:rsidP="00C64457">
                  <w:pPr>
                    <w:spacing w:after="0" w:line="240" w:lineRule="auto"/>
                    <w:jc w:val="right"/>
                    <w:rPr>
                      <w:rFonts w:ascii="Calibri" w:eastAsia="Times New Roman" w:hAnsi="Calibri" w:cs="Calibri"/>
                      <w:b/>
                      <w:bCs/>
                      <w:color w:val="000000"/>
                      <w:sz w:val="18"/>
                      <w:szCs w:val="18"/>
                    </w:rPr>
                  </w:pPr>
                  <w:r w:rsidRPr="00C64457">
                    <w:rPr>
                      <w:rFonts w:ascii="Calibri" w:eastAsia="Times New Roman" w:hAnsi="Calibri" w:cs="Calibri"/>
                      <w:b/>
                      <w:bCs/>
                      <w:color w:val="000000"/>
                      <w:sz w:val="18"/>
                      <w:szCs w:val="18"/>
                    </w:rPr>
                    <w:t>1200</w:t>
                  </w:r>
                </w:p>
              </w:tc>
            </w:tr>
            <w:tr w:rsidR="00C64457" w:rsidRPr="00C64457" w14:paraId="427AE7A7" w14:textId="77777777" w:rsidTr="00C64457">
              <w:trPr>
                <w:trHeight w:val="338"/>
              </w:trPr>
              <w:tc>
                <w:tcPr>
                  <w:tcW w:w="1596" w:type="dxa"/>
                  <w:tcBorders>
                    <w:top w:val="nil"/>
                    <w:left w:val="nil"/>
                    <w:bottom w:val="nil"/>
                    <w:right w:val="nil"/>
                  </w:tcBorders>
                  <w:shd w:val="clear" w:color="000000" w:fill="D9D9D9"/>
                  <w:noWrap/>
                  <w:vAlign w:val="bottom"/>
                  <w:hideMark/>
                </w:tcPr>
                <w:p w14:paraId="5BB9B34C"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7E2040D9"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3664C7A8"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tcBorders>
                    <w:top w:val="nil"/>
                    <w:left w:val="nil"/>
                    <w:bottom w:val="nil"/>
                    <w:right w:val="nil"/>
                  </w:tcBorders>
                  <w:shd w:val="clear" w:color="000000" w:fill="D9D9D9"/>
                  <w:noWrap/>
                  <w:vAlign w:val="bottom"/>
                  <w:hideMark/>
                </w:tcPr>
                <w:p w14:paraId="534C5790"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32C81FDB"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r>
            <w:tr w:rsidR="00C64457" w:rsidRPr="00C64457" w14:paraId="4F48EA68" w14:textId="77777777" w:rsidTr="00C64457">
              <w:trPr>
                <w:trHeight w:val="338"/>
              </w:trPr>
              <w:tc>
                <w:tcPr>
                  <w:tcW w:w="1596" w:type="dxa"/>
                  <w:tcBorders>
                    <w:top w:val="nil"/>
                    <w:left w:val="nil"/>
                    <w:bottom w:val="nil"/>
                    <w:right w:val="nil"/>
                  </w:tcBorders>
                  <w:shd w:val="clear" w:color="000000" w:fill="D9D9D9"/>
                  <w:noWrap/>
                  <w:vAlign w:val="bottom"/>
                  <w:hideMark/>
                </w:tcPr>
                <w:p w14:paraId="0015DC5F"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Taxes</w:t>
                  </w:r>
                </w:p>
              </w:tc>
              <w:tc>
                <w:tcPr>
                  <w:tcW w:w="606" w:type="dxa"/>
                  <w:tcBorders>
                    <w:top w:val="nil"/>
                    <w:left w:val="nil"/>
                    <w:bottom w:val="nil"/>
                    <w:right w:val="nil"/>
                  </w:tcBorders>
                  <w:shd w:val="clear" w:color="000000" w:fill="D9D9D9"/>
                  <w:noWrap/>
                  <w:vAlign w:val="bottom"/>
                  <w:hideMark/>
                </w:tcPr>
                <w:p w14:paraId="61B3CECC"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800</w:t>
                  </w:r>
                </w:p>
              </w:tc>
              <w:tc>
                <w:tcPr>
                  <w:tcW w:w="606" w:type="dxa"/>
                  <w:tcBorders>
                    <w:top w:val="nil"/>
                    <w:left w:val="nil"/>
                    <w:bottom w:val="nil"/>
                    <w:right w:val="nil"/>
                  </w:tcBorders>
                  <w:shd w:val="clear" w:color="000000" w:fill="D9D9D9"/>
                  <w:noWrap/>
                  <w:vAlign w:val="bottom"/>
                  <w:hideMark/>
                </w:tcPr>
                <w:p w14:paraId="4A116158"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tcBorders>
                    <w:top w:val="nil"/>
                    <w:left w:val="nil"/>
                    <w:bottom w:val="nil"/>
                    <w:right w:val="nil"/>
                  </w:tcBorders>
                  <w:shd w:val="clear" w:color="000000" w:fill="D9D9D9"/>
                  <w:noWrap/>
                  <w:vAlign w:val="bottom"/>
                  <w:hideMark/>
                </w:tcPr>
                <w:p w14:paraId="17D05067"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Expense</w:t>
                  </w:r>
                </w:p>
              </w:tc>
              <w:tc>
                <w:tcPr>
                  <w:tcW w:w="606" w:type="dxa"/>
                  <w:tcBorders>
                    <w:top w:val="nil"/>
                    <w:left w:val="nil"/>
                    <w:bottom w:val="nil"/>
                    <w:right w:val="nil"/>
                  </w:tcBorders>
                  <w:shd w:val="clear" w:color="000000" w:fill="D9D9D9"/>
                  <w:noWrap/>
                  <w:vAlign w:val="bottom"/>
                  <w:hideMark/>
                </w:tcPr>
                <w:p w14:paraId="2DA93452"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950</w:t>
                  </w:r>
                </w:p>
              </w:tc>
            </w:tr>
            <w:tr w:rsidR="00C64457" w:rsidRPr="00C64457" w14:paraId="012FDABC" w14:textId="77777777" w:rsidTr="00C64457">
              <w:trPr>
                <w:trHeight w:val="338"/>
              </w:trPr>
              <w:tc>
                <w:tcPr>
                  <w:tcW w:w="1596" w:type="dxa"/>
                  <w:tcBorders>
                    <w:top w:val="nil"/>
                    <w:left w:val="nil"/>
                    <w:bottom w:val="nil"/>
                    <w:right w:val="nil"/>
                  </w:tcBorders>
                  <w:shd w:val="clear" w:color="000000" w:fill="D9D9D9"/>
                  <w:noWrap/>
                  <w:vAlign w:val="bottom"/>
                  <w:hideMark/>
                </w:tcPr>
                <w:p w14:paraId="3B556F99"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Social contributions</w:t>
                  </w:r>
                </w:p>
              </w:tc>
              <w:tc>
                <w:tcPr>
                  <w:tcW w:w="606" w:type="dxa"/>
                  <w:tcBorders>
                    <w:top w:val="nil"/>
                    <w:left w:val="nil"/>
                    <w:bottom w:val="nil"/>
                    <w:right w:val="nil"/>
                  </w:tcBorders>
                  <w:shd w:val="clear" w:color="000000" w:fill="D9D9D9"/>
                  <w:noWrap/>
                  <w:vAlign w:val="bottom"/>
                  <w:hideMark/>
                </w:tcPr>
                <w:p w14:paraId="57A715ED"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105</w:t>
                  </w:r>
                </w:p>
              </w:tc>
              <w:tc>
                <w:tcPr>
                  <w:tcW w:w="606" w:type="dxa"/>
                  <w:tcBorders>
                    <w:top w:val="nil"/>
                    <w:left w:val="nil"/>
                    <w:bottom w:val="nil"/>
                    <w:right w:val="nil"/>
                  </w:tcBorders>
                  <w:shd w:val="clear" w:color="000000" w:fill="D9D9D9"/>
                  <w:noWrap/>
                  <w:vAlign w:val="bottom"/>
                  <w:hideMark/>
                </w:tcPr>
                <w:p w14:paraId="4000FAAB"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vMerge w:val="restart"/>
                  <w:tcBorders>
                    <w:top w:val="nil"/>
                    <w:left w:val="nil"/>
                    <w:bottom w:val="nil"/>
                    <w:right w:val="nil"/>
                  </w:tcBorders>
                  <w:shd w:val="clear" w:color="000000" w:fill="D9D9D9"/>
                  <w:vAlign w:val="center"/>
                  <w:hideMark/>
                </w:tcPr>
                <w:p w14:paraId="009D363C"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Net acquisition of nonfinancial assets</w:t>
                  </w:r>
                </w:p>
              </w:tc>
              <w:tc>
                <w:tcPr>
                  <w:tcW w:w="606" w:type="dxa"/>
                  <w:tcBorders>
                    <w:top w:val="nil"/>
                    <w:left w:val="nil"/>
                    <w:bottom w:val="nil"/>
                    <w:right w:val="nil"/>
                  </w:tcBorders>
                  <w:shd w:val="clear" w:color="000000" w:fill="D9D9D9"/>
                  <w:noWrap/>
                  <w:hideMark/>
                </w:tcPr>
                <w:p w14:paraId="2A36538C"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250</w:t>
                  </w:r>
                </w:p>
              </w:tc>
            </w:tr>
            <w:tr w:rsidR="00C64457" w:rsidRPr="00C64457" w14:paraId="343267EB" w14:textId="77777777" w:rsidTr="00C64457">
              <w:trPr>
                <w:trHeight w:val="338"/>
              </w:trPr>
              <w:tc>
                <w:tcPr>
                  <w:tcW w:w="1596" w:type="dxa"/>
                  <w:tcBorders>
                    <w:top w:val="nil"/>
                    <w:left w:val="nil"/>
                    <w:bottom w:val="nil"/>
                    <w:right w:val="nil"/>
                  </w:tcBorders>
                  <w:shd w:val="clear" w:color="000000" w:fill="D9D9D9"/>
                  <w:noWrap/>
                  <w:vAlign w:val="bottom"/>
                  <w:hideMark/>
                </w:tcPr>
                <w:p w14:paraId="23E7181B"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Grants</w:t>
                  </w:r>
                </w:p>
              </w:tc>
              <w:tc>
                <w:tcPr>
                  <w:tcW w:w="606" w:type="dxa"/>
                  <w:tcBorders>
                    <w:top w:val="nil"/>
                    <w:left w:val="nil"/>
                    <w:bottom w:val="nil"/>
                    <w:right w:val="nil"/>
                  </w:tcBorders>
                  <w:shd w:val="clear" w:color="000000" w:fill="D9D9D9"/>
                  <w:noWrap/>
                  <w:vAlign w:val="bottom"/>
                  <w:hideMark/>
                </w:tcPr>
                <w:p w14:paraId="73948FAC"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25</w:t>
                  </w:r>
                </w:p>
              </w:tc>
              <w:tc>
                <w:tcPr>
                  <w:tcW w:w="606" w:type="dxa"/>
                  <w:tcBorders>
                    <w:top w:val="nil"/>
                    <w:left w:val="nil"/>
                    <w:bottom w:val="nil"/>
                    <w:right w:val="nil"/>
                  </w:tcBorders>
                  <w:shd w:val="clear" w:color="000000" w:fill="D9D9D9"/>
                  <w:noWrap/>
                  <w:vAlign w:val="bottom"/>
                  <w:hideMark/>
                </w:tcPr>
                <w:p w14:paraId="2558AE99"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vMerge/>
                  <w:tcBorders>
                    <w:top w:val="nil"/>
                    <w:left w:val="nil"/>
                    <w:bottom w:val="nil"/>
                    <w:right w:val="nil"/>
                  </w:tcBorders>
                  <w:vAlign w:val="center"/>
                  <w:hideMark/>
                </w:tcPr>
                <w:p w14:paraId="562EF9D3" w14:textId="77777777" w:rsidR="00C64457" w:rsidRPr="00C64457" w:rsidRDefault="00C64457" w:rsidP="00C64457">
                  <w:pPr>
                    <w:spacing w:after="0" w:line="240" w:lineRule="auto"/>
                    <w:rPr>
                      <w:rFonts w:ascii="Calibri" w:eastAsia="Times New Roman" w:hAnsi="Calibri" w:cs="Calibri"/>
                      <w:color w:val="000000"/>
                      <w:sz w:val="18"/>
                      <w:szCs w:val="18"/>
                    </w:rPr>
                  </w:pPr>
                </w:p>
              </w:tc>
              <w:tc>
                <w:tcPr>
                  <w:tcW w:w="606" w:type="dxa"/>
                  <w:tcBorders>
                    <w:top w:val="nil"/>
                    <w:left w:val="nil"/>
                    <w:bottom w:val="nil"/>
                    <w:right w:val="nil"/>
                  </w:tcBorders>
                  <w:shd w:val="clear" w:color="000000" w:fill="D9D9D9"/>
                  <w:noWrap/>
                  <w:vAlign w:val="bottom"/>
                  <w:hideMark/>
                </w:tcPr>
                <w:p w14:paraId="6332F01D"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r>
            <w:tr w:rsidR="00C64457" w:rsidRPr="00C64457" w14:paraId="648C2F0C" w14:textId="77777777" w:rsidTr="00C64457">
              <w:trPr>
                <w:trHeight w:val="338"/>
              </w:trPr>
              <w:tc>
                <w:tcPr>
                  <w:tcW w:w="1596" w:type="dxa"/>
                  <w:tcBorders>
                    <w:top w:val="nil"/>
                    <w:left w:val="nil"/>
                    <w:bottom w:val="nil"/>
                    <w:right w:val="nil"/>
                  </w:tcBorders>
                  <w:shd w:val="clear" w:color="000000" w:fill="D9D9D9"/>
                  <w:noWrap/>
                  <w:vAlign w:val="bottom"/>
                  <w:hideMark/>
                </w:tcPr>
                <w:p w14:paraId="0CC984FB"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Other revenue</w:t>
                  </w:r>
                </w:p>
              </w:tc>
              <w:tc>
                <w:tcPr>
                  <w:tcW w:w="606" w:type="dxa"/>
                  <w:tcBorders>
                    <w:top w:val="nil"/>
                    <w:left w:val="nil"/>
                    <w:bottom w:val="nil"/>
                    <w:right w:val="nil"/>
                  </w:tcBorders>
                  <w:shd w:val="clear" w:color="000000" w:fill="D9D9D9"/>
                  <w:noWrap/>
                  <w:vAlign w:val="bottom"/>
                  <w:hideMark/>
                </w:tcPr>
                <w:p w14:paraId="29FF4629" w14:textId="77777777" w:rsidR="00C64457" w:rsidRPr="00C64457" w:rsidRDefault="00C64457" w:rsidP="00C64457">
                  <w:pPr>
                    <w:spacing w:after="0" w:line="240" w:lineRule="auto"/>
                    <w:jc w:val="right"/>
                    <w:rPr>
                      <w:rFonts w:ascii="Calibri" w:eastAsia="Times New Roman" w:hAnsi="Calibri" w:cs="Calibri"/>
                      <w:color w:val="000000"/>
                      <w:sz w:val="18"/>
                      <w:szCs w:val="18"/>
                    </w:rPr>
                  </w:pPr>
                  <w:r w:rsidRPr="00C64457">
                    <w:rPr>
                      <w:rFonts w:ascii="Calibri" w:eastAsia="Times New Roman" w:hAnsi="Calibri" w:cs="Calibri"/>
                      <w:color w:val="000000"/>
                      <w:sz w:val="18"/>
                      <w:szCs w:val="18"/>
                    </w:rPr>
                    <w:t>33</w:t>
                  </w:r>
                </w:p>
              </w:tc>
              <w:tc>
                <w:tcPr>
                  <w:tcW w:w="606" w:type="dxa"/>
                  <w:tcBorders>
                    <w:top w:val="nil"/>
                    <w:left w:val="nil"/>
                    <w:bottom w:val="nil"/>
                    <w:right w:val="nil"/>
                  </w:tcBorders>
                  <w:shd w:val="clear" w:color="000000" w:fill="D9D9D9"/>
                  <w:noWrap/>
                  <w:vAlign w:val="bottom"/>
                  <w:hideMark/>
                </w:tcPr>
                <w:p w14:paraId="4133567B"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tcBorders>
                    <w:top w:val="nil"/>
                    <w:left w:val="nil"/>
                    <w:bottom w:val="nil"/>
                    <w:right w:val="nil"/>
                  </w:tcBorders>
                  <w:shd w:val="clear" w:color="000000" w:fill="D9D9D9"/>
                  <w:noWrap/>
                  <w:vAlign w:val="bottom"/>
                  <w:hideMark/>
                </w:tcPr>
                <w:p w14:paraId="69898060"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5B0EDEF4"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r>
            <w:tr w:rsidR="00C64457" w:rsidRPr="00C64457" w14:paraId="0B2A238F" w14:textId="77777777" w:rsidTr="00C64457">
              <w:trPr>
                <w:trHeight w:val="338"/>
              </w:trPr>
              <w:tc>
                <w:tcPr>
                  <w:tcW w:w="1596" w:type="dxa"/>
                  <w:tcBorders>
                    <w:top w:val="nil"/>
                    <w:left w:val="nil"/>
                    <w:bottom w:val="nil"/>
                    <w:right w:val="nil"/>
                  </w:tcBorders>
                  <w:shd w:val="clear" w:color="000000" w:fill="D9D9D9"/>
                  <w:noWrap/>
                  <w:vAlign w:val="bottom"/>
                  <w:hideMark/>
                </w:tcPr>
                <w:p w14:paraId="70F5DB96" w14:textId="77777777" w:rsidR="00C64457" w:rsidRPr="00C64457" w:rsidRDefault="00C64457" w:rsidP="00C64457">
                  <w:pPr>
                    <w:spacing w:after="0" w:line="240" w:lineRule="auto"/>
                    <w:ind w:firstLineChars="200" w:firstLine="360"/>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22F60FD7"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54CA78CE"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tcBorders>
                    <w:top w:val="nil"/>
                    <w:left w:val="nil"/>
                    <w:bottom w:val="nil"/>
                    <w:right w:val="nil"/>
                  </w:tcBorders>
                  <w:shd w:val="clear" w:color="000000" w:fill="D9D9D9"/>
                  <w:noWrap/>
                  <w:vAlign w:val="bottom"/>
                  <w:hideMark/>
                </w:tcPr>
                <w:p w14:paraId="76895E89"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0EFC9699"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r>
            <w:tr w:rsidR="00C64457" w:rsidRPr="00C64457" w14:paraId="6F46664C" w14:textId="77777777" w:rsidTr="00C64457">
              <w:trPr>
                <w:trHeight w:val="338"/>
              </w:trPr>
              <w:tc>
                <w:tcPr>
                  <w:tcW w:w="1596" w:type="dxa"/>
                  <w:tcBorders>
                    <w:top w:val="nil"/>
                    <w:left w:val="nil"/>
                    <w:bottom w:val="nil"/>
                    <w:right w:val="nil"/>
                  </w:tcBorders>
                  <w:shd w:val="clear" w:color="000000" w:fill="D9D9D9"/>
                  <w:noWrap/>
                  <w:vAlign w:val="bottom"/>
                  <w:hideMark/>
                </w:tcPr>
                <w:p w14:paraId="6AA2CC5C"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0286D418"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606" w:type="dxa"/>
                  <w:tcBorders>
                    <w:top w:val="nil"/>
                    <w:left w:val="nil"/>
                    <w:bottom w:val="nil"/>
                    <w:right w:val="nil"/>
                  </w:tcBorders>
                  <w:shd w:val="clear" w:color="000000" w:fill="D9D9D9"/>
                  <w:noWrap/>
                  <w:vAlign w:val="bottom"/>
                  <w:hideMark/>
                </w:tcPr>
                <w:p w14:paraId="09835B10" w14:textId="77777777" w:rsidR="00C64457" w:rsidRPr="00C64457" w:rsidRDefault="00C64457" w:rsidP="00C64457">
                  <w:pPr>
                    <w:spacing w:after="0" w:line="240" w:lineRule="auto"/>
                    <w:rPr>
                      <w:rFonts w:ascii="Calibri" w:eastAsia="Times New Roman" w:hAnsi="Calibri" w:cs="Calibri"/>
                      <w:color w:val="000000"/>
                      <w:sz w:val="18"/>
                      <w:szCs w:val="18"/>
                    </w:rPr>
                  </w:pPr>
                  <w:r w:rsidRPr="00C64457">
                    <w:rPr>
                      <w:rFonts w:ascii="Calibri" w:eastAsia="Times New Roman" w:hAnsi="Calibri" w:cs="Calibri"/>
                      <w:color w:val="000000"/>
                      <w:sz w:val="18"/>
                      <w:szCs w:val="18"/>
                    </w:rPr>
                    <w:t> </w:t>
                  </w:r>
                </w:p>
              </w:tc>
              <w:tc>
                <w:tcPr>
                  <w:tcW w:w="1646" w:type="dxa"/>
                  <w:tcBorders>
                    <w:top w:val="nil"/>
                    <w:left w:val="nil"/>
                    <w:bottom w:val="nil"/>
                    <w:right w:val="nil"/>
                  </w:tcBorders>
                  <w:shd w:val="clear" w:color="000000" w:fill="D9D9D9"/>
                  <w:noWrap/>
                  <w:vAlign w:val="bottom"/>
                  <w:hideMark/>
                </w:tcPr>
                <w:p w14:paraId="0F492D17" w14:textId="77777777" w:rsidR="00C64457" w:rsidRPr="00C64457" w:rsidRDefault="00C64457" w:rsidP="00C64457">
                  <w:pPr>
                    <w:spacing w:after="0" w:line="240" w:lineRule="auto"/>
                    <w:rPr>
                      <w:rFonts w:ascii="Calibri" w:eastAsia="Times New Roman" w:hAnsi="Calibri" w:cs="Calibri"/>
                      <w:b/>
                      <w:bCs/>
                      <w:color w:val="0000FF"/>
                      <w:sz w:val="18"/>
                      <w:szCs w:val="18"/>
                    </w:rPr>
                  </w:pPr>
                  <w:r w:rsidRPr="00C64457">
                    <w:rPr>
                      <w:rFonts w:ascii="Calibri" w:eastAsia="Times New Roman" w:hAnsi="Calibri" w:cs="Calibri"/>
                      <w:b/>
                      <w:bCs/>
                      <w:color w:val="0000FF"/>
                      <w:sz w:val="18"/>
                      <w:szCs w:val="18"/>
                    </w:rPr>
                    <w:t>SDG Indicator 17.1.2</w:t>
                  </w:r>
                </w:p>
              </w:tc>
              <w:tc>
                <w:tcPr>
                  <w:tcW w:w="606" w:type="dxa"/>
                  <w:tcBorders>
                    <w:top w:val="nil"/>
                    <w:left w:val="nil"/>
                    <w:bottom w:val="nil"/>
                    <w:right w:val="nil"/>
                  </w:tcBorders>
                  <w:shd w:val="clear" w:color="000000" w:fill="D9D9D9"/>
                  <w:noWrap/>
                  <w:vAlign w:val="bottom"/>
                  <w:hideMark/>
                </w:tcPr>
                <w:p w14:paraId="05537F46" w14:textId="77777777" w:rsidR="00C64457" w:rsidRPr="00C64457" w:rsidRDefault="00C64457" w:rsidP="00C64457">
                  <w:pPr>
                    <w:spacing w:after="0" w:line="240" w:lineRule="auto"/>
                    <w:jc w:val="right"/>
                    <w:rPr>
                      <w:rFonts w:ascii="Calibri" w:eastAsia="Times New Roman" w:hAnsi="Calibri" w:cs="Calibri"/>
                      <w:b/>
                      <w:bCs/>
                      <w:color w:val="0000FF"/>
                      <w:sz w:val="18"/>
                      <w:szCs w:val="18"/>
                    </w:rPr>
                  </w:pPr>
                  <w:r w:rsidRPr="00C64457">
                    <w:rPr>
                      <w:rFonts w:ascii="Calibri" w:eastAsia="Times New Roman" w:hAnsi="Calibri" w:cs="Calibri"/>
                      <w:b/>
                      <w:bCs/>
                      <w:color w:val="0000FF"/>
                      <w:sz w:val="18"/>
                      <w:szCs w:val="18"/>
                    </w:rPr>
                    <w:t>67%</w:t>
                  </w:r>
                </w:p>
              </w:tc>
            </w:tr>
          </w:tbl>
          <w:p w14:paraId="7ACF6D33" w14:textId="77777777" w:rsidR="00C64457" w:rsidRDefault="00C64457" w:rsidP="00C64457">
            <w:pPr>
              <w:keepNext/>
            </w:pPr>
          </w:p>
          <w:p w14:paraId="0232E6B5" w14:textId="029D423B" w:rsidR="007F2D9F" w:rsidRPr="009F305C" w:rsidRDefault="00C64457" w:rsidP="00C64457">
            <w:pPr>
              <w:pStyle w:val="MText"/>
            </w:pPr>
            <w:r>
              <w:t>Consistency across countries will be ensured through the underlying structure of the IMF GFS database and application of one simple mathematical formula to make computations on the country reported source data used to produce the indicator (no adjustments and/or weighting techniques will be applied). Mixed sources are not being used nor will the calculation change over time (i.e., there are no</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52D5BF" w:rsidR="007F2D9F" w:rsidRPr="009F305C" w:rsidRDefault="00164718" w:rsidP="00164718">
            <w:pPr>
              <w:pStyle w:val="NormalWeb"/>
            </w:pPr>
            <w:r>
              <w:rPr>
                <w:rFonts w:ascii="Calibri" w:hAnsi="Calibri" w:cs="Calibri"/>
                <w:color w:val="000000"/>
                <w:sz w:val="22"/>
                <w:szCs w:val="22"/>
              </w:rPr>
              <w:t>The Bureau is ISO certified and also carries out its own internal audit that ensures that high quality statistics are produced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C970D0" w:rsidR="007F2D9F" w:rsidRPr="009F305C" w:rsidRDefault="00164718" w:rsidP="009F305C">
            <w:r>
              <w:rPr>
                <w:rFonts w:ascii="Calibri" w:hAnsi="Calibri" w:cs="Calibri"/>
                <w:color w:val="000000"/>
              </w:rPr>
              <w:t xml:space="preserve">The Bureau adheres to </w:t>
            </w:r>
            <w:proofErr w:type="spellStart"/>
            <w:r>
              <w:rPr>
                <w:rFonts w:ascii="Calibri" w:hAnsi="Calibri" w:cs="Calibri"/>
                <w:color w:val="000000"/>
              </w:rPr>
              <w:t>KeSQAF</w:t>
            </w:r>
            <w:proofErr w:type="spellEnd"/>
            <w:r>
              <w:rPr>
                <w:rFonts w:ascii="Calibri" w:hAnsi="Calibri" w:cs="Calibri"/>
                <w:color w:val="000000"/>
              </w:rP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6C3E2A" w:rsidR="007F2D9F" w:rsidRPr="009F305C" w:rsidRDefault="004D3DDB" w:rsidP="009F305C">
            <w:r>
              <w:rPr>
                <w:rFonts w:ascii="Calibri" w:hAnsi="Calibri" w:cs="Calibri"/>
                <w:color w:val="000000"/>
              </w:rPr>
              <w:t>The Bureau has a quality management system in place that ensures that data produced meets the set standards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033E82" w14:textId="77777777" w:rsidR="004D3DDB" w:rsidRPr="004E5EB9" w:rsidRDefault="004D3DDB" w:rsidP="004D3DDB">
            <w:pPr>
              <w:pStyle w:val="MText"/>
              <w:jc w:val="both"/>
              <w:rPr>
                <w:b/>
              </w:rPr>
            </w:pPr>
            <w:r w:rsidRPr="004E5EB9">
              <w:rPr>
                <w:b/>
              </w:rPr>
              <w:t>Data availability:</w:t>
            </w:r>
          </w:p>
          <w:p w14:paraId="7E81B500" w14:textId="77777777" w:rsidR="004D3DDB" w:rsidRDefault="004D3DDB" w:rsidP="004D3DDB">
            <w:pPr>
              <w:pStyle w:val="MText"/>
              <w:jc w:val="both"/>
              <w:rPr>
                <w:highlight w:val="cyan"/>
              </w:rPr>
            </w:pPr>
            <w:r w:rsidRPr="00176F65">
              <w:t xml:space="preserve">Classification of the indicator into one of the three tiers: We recommend that 17.1.1 (like 17.1.2) remain classified as Tier 1: The indicator is conceptually clear and internationally agreed standards for compiling components and aggregates are available. The underlying data are regularly produced by countries, and there is current data available. From the IAEG-SDGs Tier Classification description at https://unstats.un.org/sdgs/iaeg-sdgs/tier-classification/, a key </w:t>
            </w:r>
            <w:r>
              <w:t>criterion</w:t>
            </w:r>
            <w:r w:rsidRPr="00176F65">
              <w:t xml:space="preserve"> is that “data are regularly produced by countries for at least 50 percent of countries”. The IMF GFS database, with </w:t>
            </w:r>
            <w:r>
              <w:t>130</w:t>
            </w:r>
            <w:r w:rsidRPr="00176F65">
              <w:t xml:space="preserve">+ regular annual reporting countries using the same reporting format meets this key </w:t>
            </w:r>
            <w:r>
              <w:t>criterion</w:t>
            </w:r>
            <w:r w:rsidRPr="00176F65">
              <w:t xml:space="preserve">. Apart from conflict countries, all IMF member countries produce revenue (and expenditure) data for surveillance purposes. In </w:t>
            </w:r>
            <w:r>
              <w:t xml:space="preserve">recent </w:t>
            </w:r>
            <w:r w:rsidRPr="00176F65">
              <w:t>round</w:t>
            </w:r>
            <w:r>
              <w:t>s</w:t>
            </w:r>
            <w:r w:rsidRPr="00176F65">
              <w:t xml:space="preserve"> of soliciting annual GFS series from countries, we have specifically encouraged those countries that were non-reporters over the past few years to (at a minimum) provide the key revenue and expenditure series needed to monitor 17.1.</w:t>
            </w:r>
          </w:p>
          <w:p w14:paraId="5109AE8B" w14:textId="77777777" w:rsidR="004D3DDB" w:rsidRPr="004E5EB9" w:rsidRDefault="004D3DDB" w:rsidP="004D3DDB">
            <w:pPr>
              <w:pStyle w:val="MText"/>
              <w:jc w:val="both"/>
              <w:rPr>
                <w:b/>
              </w:rPr>
            </w:pPr>
            <w:r w:rsidRPr="004E5EB9">
              <w:rPr>
                <w:b/>
              </w:rPr>
              <w:t>Disaggregation:</w:t>
            </w:r>
          </w:p>
          <w:p w14:paraId="245D2A9C" w14:textId="77777777" w:rsidR="004D3DDB" w:rsidRDefault="004D3DDB" w:rsidP="004D3DDB">
            <w:pPr>
              <w:pStyle w:val="MText"/>
              <w:rPr>
                <w:rFonts w:cstheme="minorHAnsi"/>
              </w:rPr>
            </w:pPr>
            <w:r w:rsidRPr="00176F65">
              <w:rPr>
                <w:rFonts w:cstheme="minorHAnsi"/>
              </w:rPr>
              <w:t>The detailed GFS revenue classification structure in the annual questionnaire that is used by countries to report data allows for compiling 17.1.1. The four types of revenue: Taxes, Social contributions, Grants and Other revenue are further disaggregated in the annual GFS questionnaire in order to encompass all possible forms of revenue administrations. Taxe</w:t>
            </w:r>
            <w:r>
              <w:rPr>
                <w:rFonts w:cstheme="minorHAnsi"/>
              </w:rPr>
              <w:t>s are disaggregated as follows:</w:t>
            </w:r>
            <w:r>
              <w:rPr>
                <w:noProof/>
                <w:lang w:val="en-US" w:eastAsia="en-US"/>
              </w:rPr>
              <w:t xml:space="preserve"> </w:t>
            </w:r>
            <w:r w:rsidRPr="00176F65">
              <w:rPr>
                <w:rFonts w:cstheme="minorHAnsi"/>
              </w:rPr>
              <w:br/>
            </w:r>
          </w:p>
          <w:p w14:paraId="210555F7" w14:textId="0F41D41F" w:rsidR="004D3DDB" w:rsidRDefault="004D3DDB" w:rsidP="004D3DDB">
            <w:pPr>
              <w:pStyle w:val="MText"/>
              <w:rPr>
                <w:rFonts w:cstheme="minorHAnsi"/>
              </w:rPr>
            </w:pPr>
            <w:r>
              <w:rPr>
                <w:noProof/>
                <w:lang w:val="en-US" w:eastAsia="en-US"/>
              </w:rPr>
              <w:drawing>
                <wp:inline distT="0" distB="0" distL="0" distR="0" wp14:anchorId="1B768A8B" wp14:editId="2DADC1CD">
                  <wp:extent cx="4140200" cy="4133779"/>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154108" cy="4147666"/>
                          </a:xfrm>
                          <a:prstGeom prst="rect">
                            <a:avLst/>
                          </a:prstGeom>
                        </pic:spPr>
                      </pic:pic>
                    </a:graphicData>
                  </a:graphic>
                </wp:inline>
              </w:drawing>
            </w:r>
            <w:r w:rsidRPr="00176F65">
              <w:rPr>
                <w:rFonts w:cstheme="minorHAnsi"/>
              </w:rPr>
              <w:br/>
              <w:t>Social contributions differentiate between social security and other social contributions, as follows:</w:t>
            </w:r>
          </w:p>
          <w:p w14:paraId="28021B1D" w14:textId="36B4DF86" w:rsidR="004D3DDB" w:rsidRDefault="004D3DDB" w:rsidP="004D3DDB">
            <w:pPr>
              <w:pStyle w:val="MText"/>
              <w:rPr>
                <w:rFonts w:cstheme="minorHAnsi"/>
              </w:rPr>
            </w:pPr>
            <w:r>
              <w:rPr>
                <w:noProof/>
                <w:lang w:val="en-US" w:eastAsia="en-US"/>
              </w:rPr>
              <w:drawing>
                <wp:inline distT="0" distB="0" distL="0" distR="0" wp14:anchorId="7DF09E00" wp14:editId="12EA5F9D">
                  <wp:extent cx="4242451" cy="1282700"/>
                  <wp:effectExtent l="0" t="0" r="571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55202" cy="1286555"/>
                          </a:xfrm>
                          <a:prstGeom prst="rect">
                            <a:avLst/>
                          </a:prstGeom>
                        </pic:spPr>
                      </pic:pic>
                    </a:graphicData>
                  </a:graphic>
                </wp:inline>
              </w:drawing>
            </w:r>
            <w:r w:rsidRPr="00176F65">
              <w:rPr>
                <w:rFonts w:cstheme="minorHAnsi"/>
              </w:rPr>
              <w:br/>
              <w:t>Grants can be disaggregated by source as follows:</w:t>
            </w:r>
          </w:p>
          <w:p w14:paraId="51D2D4CC" w14:textId="4ED82423" w:rsidR="004D3DDB" w:rsidRDefault="004D3DDB" w:rsidP="004D3DDB">
            <w:pPr>
              <w:pStyle w:val="MText"/>
              <w:rPr>
                <w:rFonts w:cstheme="minorHAnsi"/>
              </w:rPr>
            </w:pPr>
            <w:r>
              <w:rPr>
                <w:noProof/>
                <w:lang w:val="en-US" w:eastAsia="en-US"/>
              </w:rPr>
              <w:drawing>
                <wp:inline distT="0" distB="0" distL="0" distR="0" wp14:anchorId="4462B605" wp14:editId="19EDA932">
                  <wp:extent cx="4288886" cy="1327150"/>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99481" cy="1330429"/>
                          </a:xfrm>
                          <a:prstGeom prst="rect">
                            <a:avLst/>
                          </a:prstGeom>
                        </pic:spPr>
                      </pic:pic>
                    </a:graphicData>
                  </a:graphic>
                </wp:inline>
              </w:drawing>
            </w:r>
          </w:p>
          <w:p w14:paraId="203A6F5A" w14:textId="77777777" w:rsidR="004D3DDB" w:rsidRDefault="004D3DDB" w:rsidP="004D3DDB">
            <w:pPr>
              <w:pStyle w:val="MText"/>
              <w:rPr>
                <w:rFonts w:cstheme="minorHAnsi"/>
              </w:rPr>
            </w:pPr>
            <w:r w:rsidRPr="00176F65">
              <w:rPr>
                <w:rFonts w:cstheme="minorHAnsi"/>
              </w:rPr>
              <w:t>And Other revenue is disaggregated into five main types, with additional component detail as follows:</w:t>
            </w:r>
          </w:p>
          <w:p w14:paraId="39185D77" w14:textId="7CCE8FFB" w:rsidR="00776312" w:rsidRPr="004D3DDB" w:rsidRDefault="004D3DDB" w:rsidP="004D3DDB">
            <w:pPr>
              <w:pStyle w:val="MText"/>
              <w:jc w:val="both"/>
              <w:rPr>
                <w:rFonts w:cstheme="minorHAnsi"/>
              </w:rPr>
            </w:pPr>
            <w:r>
              <w:rPr>
                <w:noProof/>
                <w:lang w:val="en-US" w:eastAsia="en-US"/>
              </w:rPr>
              <w:drawing>
                <wp:inline distT="0" distB="0" distL="0" distR="0" wp14:anchorId="4D80B2AA" wp14:editId="5D52F2E1">
                  <wp:extent cx="4222622" cy="3608363"/>
                  <wp:effectExtent l="0" t="0" r="698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50206" cy="3631935"/>
                          </a:xfrm>
                          <a:prstGeom prst="rect">
                            <a:avLst/>
                          </a:prstGeom>
                        </pic:spPr>
                      </pic:pic>
                    </a:graphicData>
                  </a:graphic>
                </wp:inline>
              </w:drawing>
            </w:r>
            <w:r w:rsidRPr="00176F65">
              <w:rPr>
                <w:rFonts w:cstheme="minorHAnsi"/>
              </w:rPr>
              <w:br/>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77777777" w:rsidR="004D3DDB" w:rsidRPr="004E5EB9" w:rsidRDefault="004D3DDB" w:rsidP="004D3DDB">
            <w:pPr>
              <w:pStyle w:val="MText"/>
              <w:rPr>
                <w:b/>
              </w:rPr>
            </w:pPr>
            <w:r w:rsidRPr="004E5EB9">
              <w:rPr>
                <w:b/>
              </w:rPr>
              <w:t>Sources of discrepancies:</w:t>
            </w:r>
          </w:p>
          <w:p w14:paraId="7104584D" w14:textId="74B49282" w:rsidR="006A7EF1" w:rsidRPr="009F305C" w:rsidRDefault="004D3DDB" w:rsidP="004D3DDB">
            <w:pPr>
              <w:pStyle w:val="MText"/>
            </w:pPr>
            <w:r w:rsidRPr="00176F65">
              <w:t>Where the relevant aggregates and component detail in series disseminated by the national authorities are found to differ from GFS due to unreported revisions, the IMF Statistics Department will solicit revised time series in GFS format from the national authorities.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7521D52" w:rsidR="006F104C" w:rsidRPr="009F305C" w:rsidRDefault="00892669" w:rsidP="00892669">
            <w:pPr>
              <w:pStyle w:val="MText"/>
            </w:pPr>
            <w:r w:rsidRPr="003C7F79">
              <w:t>The GFSM 2014 is available at</w:t>
            </w:r>
            <w:r>
              <w:rPr>
                <w:rFonts w:cstheme="minorHAnsi"/>
                <w:shd w:val="clear" w:color="auto" w:fill="F9F9F9"/>
              </w:rPr>
              <w:t xml:space="preserve"> </w:t>
            </w:r>
            <w:hyperlink r:id="rId26" w:history="1">
              <w:r>
                <w:rPr>
                  <w:rStyle w:val="Hyperlink"/>
                  <w:rFonts w:eastAsiaTheme="majorEastAsia" w:cstheme="minorHAnsi"/>
                  <w:shd w:val="clear" w:color="auto" w:fill="F9F9F9"/>
                </w:rPr>
                <w:t>http://www.imf.org/external/np/sta/gfsm/</w:t>
              </w:r>
            </w:hyperlink>
            <w:r w:rsidRPr="003C7F79">
              <w:t>.</w:t>
            </w:r>
            <w:bookmarkStart w:id="31" w:name="_Hlk66826335"/>
            <w:r w:rsidRPr="003C7F79">
              <w:t xml:space="preserve"> A series of videos that discuss the GFS analytical framework are available at: </w:t>
            </w:r>
            <w:hyperlink r:id="rId27" w:history="1">
              <w:r>
                <w:rPr>
                  <w:rStyle w:val="Hyperlink"/>
                  <w:rFonts w:eastAsiaTheme="majorEastAsia" w:cstheme="minorHAnsi"/>
                </w:rPr>
                <w:t>IMF Statistics E-Learning Videos - YouTube</w:t>
              </w:r>
            </w:hyperlink>
            <w:r w:rsidRPr="003C7F79">
              <w:t xml:space="preserve">. </w:t>
            </w:r>
            <w:bookmarkEnd w:id="31"/>
            <w:r w:rsidRPr="003C7F79">
              <w:t>Although not foreseen under the reporting of 17.1.1, analysts can also use the detailed IMF GFS Revenue database to supplement this indicator with measures of direct, indirect and capital taxes (see GFSM 2014, Annex to Chapter 4).</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A3DA1" w:rsidRDefault="008A3DA1" w:rsidP="006B0512">
      <w:pPr>
        <w:spacing w:after="0" w:line="240" w:lineRule="auto"/>
      </w:pPr>
      <w:r>
        <w:separator/>
      </w:r>
    </w:p>
  </w:endnote>
  <w:endnote w:type="continuationSeparator" w:id="0">
    <w:p w14:paraId="0652DDFD" w14:textId="77777777" w:rsidR="008A3DA1" w:rsidRDefault="008A3DA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221FAA6" w:rsidR="008A3DA1" w:rsidRDefault="008A3DA1">
        <w:pPr>
          <w:pStyle w:val="Footer"/>
          <w:jc w:val="right"/>
        </w:pPr>
        <w:r>
          <w:fldChar w:fldCharType="begin"/>
        </w:r>
        <w:r>
          <w:instrText xml:space="preserve"> PAGE   \* MERGEFORMAT </w:instrText>
        </w:r>
        <w:r>
          <w:fldChar w:fldCharType="separate"/>
        </w:r>
        <w:r w:rsidR="007F6FF9">
          <w:rPr>
            <w:noProof/>
          </w:rPr>
          <w:t>3</w:t>
        </w:r>
        <w:r>
          <w:rPr>
            <w:noProof/>
          </w:rPr>
          <w:fldChar w:fldCharType="end"/>
        </w:r>
      </w:p>
    </w:sdtContent>
  </w:sdt>
  <w:p w14:paraId="232AF3D4" w14:textId="77777777" w:rsidR="008A3DA1" w:rsidRDefault="008A3DA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9830890" w:rsidR="008A3DA1" w:rsidRDefault="008A3DA1">
        <w:pPr>
          <w:pStyle w:val="Footer"/>
          <w:jc w:val="right"/>
        </w:pPr>
        <w:r>
          <w:fldChar w:fldCharType="begin"/>
        </w:r>
        <w:r>
          <w:instrText xml:space="preserve"> PAGE   \* MERGEFORMAT </w:instrText>
        </w:r>
        <w:r>
          <w:fldChar w:fldCharType="separate"/>
        </w:r>
        <w:r w:rsidR="007F6FF9">
          <w:rPr>
            <w:noProof/>
          </w:rPr>
          <w:t>1</w:t>
        </w:r>
        <w:r>
          <w:rPr>
            <w:noProof/>
          </w:rPr>
          <w:fldChar w:fldCharType="end"/>
        </w:r>
      </w:p>
    </w:sdtContent>
  </w:sdt>
  <w:p w14:paraId="52FF1B3E" w14:textId="77777777" w:rsidR="008A3DA1" w:rsidRDefault="008A3DA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A3DA1" w:rsidRDefault="008A3DA1" w:rsidP="006B0512">
      <w:pPr>
        <w:spacing w:after="0" w:line="240" w:lineRule="auto"/>
      </w:pPr>
      <w:r>
        <w:separator/>
      </w:r>
    </w:p>
  </w:footnote>
  <w:footnote w:type="continuationSeparator" w:id="0">
    <w:p w14:paraId="21AE062F" w14:textId="77777777" w:rsidR="008A3DA1" w:rsidRDefault="008A3DA1" w:rsidP="006B0512">
      <w:pPr>
        <w:spacing w:after="0" w:line="240" w:lineRule="auto"/>
      </w:pPr>
      <w:r>
        <w:continuationSeparator/>
      </w:r>
    </w:p>
  </w:footnote>
  <w:footnote w:id="1">
    <w:p w14:paraId="463C7A6C" w14:textId="3926C0D8" w:rsidR="008A3DA1" w:rsidRPr="00B8102F" w:rsidRDefault="008A3DA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1EB3"/>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64718"/>
    <w:rsid w:val="001734AE"/>
    <w:rsid w:val="00183788"/>
    <w:rsid w:val="0018734D"/>
    <w:rsid w:val="001A0E35"/>
    <w:rsid w:val="001A6F28"/>
    <w:rsid w:val="001B6829"/>
    <w:rsid w:val="001C1BC2"/>
    <w:rsid w:val="001D5B71"/>
    <w:rsid w:val="001E1E26"/>
    <w:rsid w:val="001F0C55"/>
    <w:rsid w:val="001F31C6"/>
    <w:rsid w:val="00202B2D"/>
    <w:rsid w:val="0020618B"/>
    <w:rsid w:val="00214EF7"/>
    <w:rsid w:val="0022035F"/>
    <w:rsid w:val="002313D6"/>
    <w:rsid w:val="00235F06"/>
    <w:rsid w:val="00235F8D"/>
    <w:rsid w:val="002525CC"/>
    <w:rsid w:val="002607BA"/>
    <w:rsid w:val="00266557"/>
    <w:rsid w:val="00270530"/>
    <w:rsid w:val="002806B7"/>
    <w:rsid w:val="0029558C"/>
    <w:rsid w:val="002A631A"/>
    <w:rsid w:val="002A6E7E"/>
    <w:rsid w:val="002A7797"/>
    <w:rsid w:val="002B7219"/>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68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0820"/>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22D39"/>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7F6FF9"/>
    <w:rsid w:val="00806D18"/>
    <w:rsid w:val="00810C60"/>
    <w:rsid w:val="0083498D"/>
    <w:rsid w:val="00851DF8"/>
    <w:rsid w:val="008521A2"/>
    <w:rsid w:val="00892669"/>
    <w:rsid w:val="008A3DA1"/>
    <w:rsid w:val="008A7300"/>
    <w:rsid w:val="008C141D"/>
    <w:rsid w:val="008D775E"/>
    <w:rsid w:val="008E09AA"/>
    <w:rsid w:val="008E4413"/>
    <w:rsid w:val="008E4D2D"/>
    <w:rsid w:val="008E6037"/>
    <w:rsid w:val="008F0F40"/>
    <w:rsid w:val="008F66CD"/>
    <w:rsid w:val="00911199"/>
    <w:rsid w:val="009165F2"/>
    <w:rsid w:val="009367AA"/>
    <w:rsid w:val="00943E08"/>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3B68"/>
    <w:rsid w:val="009E5D6E"/>
    <w:rsid w:val="009F305C"/>
    <w:rsid w:val="00A167C6"/>
    <w:rsid w:val="00A200D3"/>
    <w:rsid w:val="00A220AB"/>
    <w:rsid w:val="00A242D8"/>
    <w:rsid w:val="00A26DA9"/>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63C"/>
    <w:rsid w:val="00BA71B8"/>
    <w:rsid w:val="00BB553B"/>
    <w:rsid w:val="00BC5494"/>
    <w:rsid w:val="00BD5976"/>
    <w:rsid w:val="00BD7158"/>
    <w:rsid w:val="00C057EA"/>
    <w:rsid w:val="00C05B22"/>
    <w:rsid w:val="00C141AF"/>
    <w:rsid w:val="00C175B6"/>
    <w:rsid w:val="00C210B4"/>
    <w:rsid w:val="00C22A2E"/>
    <w:rsid w:val="00C31530"/>
    <w:rsid w:val="00C354C6"/>
    <w:rsid w:val="00C47725"/>
    <w:rsid w:val="00C605D4"/>
    <w:rsid w:val="00C613DE"/>
    <w:rsid w:val="00C64457"/>
    <w:rsid w:val="00C94E79"/>
    <w:rsid w:val="00CA188D"/>
    <w:rsid w:val="00CA6252"/>
    <w:rsid w:val="00CA7FA5"/>
    <w:rsid w:val="00CB7B0D"/>
    <w:rsid w:val="00CC5969"/>
    <w:rsid w:val="00CD4533"/>
    <w:rsid w:val="00CF4869"/>
    <w:rsid w:val="00CF504E"/>
    <w:rsid w:val="00D12D35"/>
    <w:rsid w:val="00D15AD5"/>
    <w:rsid w:val="00D165CA"/>
    <w:rsid w:val="00D17114"/>
    <w:rsid w:val="00D214DE"/>
    <w:rsid w:val="00D2485A"/>
    <w:rsid w:val="00D31F93"/>
    <w:rsid w:val="00D44269"/>
    <w:rsid w:val="00D51841"/>
    <w:rsid w:val="00D6461B"/>
    <w:rsid w:val="00D66D3F"/>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310E"/>
    <w:rsid w:val="00F54570"/>
    <w:rsid w:val="00F72CD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260592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www.imf.org/external/np/sta/gfsm/" TargetMode="External"/><Relationship Id="rId3" Type="http://schemas.openxmlformats.org/officeDocument/2006/relationships/customXml" Target="../customXml/item2.xml"/><Relationship Id="rId21" Type="http://schemas.openxmlformats.org/officeDocument/2006/relationships/hyperlink" Target="https://www.imf.org/external/pubs/ft/gfs/manual/gfs-qtca.htm"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image" Target="media/image8.png"/><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6.png"/><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png"/><Relationship Id="rId27" Type="http://schemas.openxmlformats.org/officeDocument/2006/relationships/hyperlink" Target="http://www.youtube.com/playlist?list=PLmYAE4wV1YQzimXjDWMQ-4GwConTsP7-a"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B623E"/>
    <w:rsid w:val="00296525"/>
    <w:rsid w:val="0036646D"/>
    <w:rsid w:val="005A24E2"/>
    <w:rsid w:val="006153AA"/>
    <w:rsid w:val="0064052E"/>
    <w:rsid w:val="00760A1F"/>
    <w:rsid w:val="00A11C08"/>
    <w:rsid w:val="00DA061B"/>
    <w:rsid w:val="00E4246B"/>
    <w:rsid w:val="00E95E77"/>
    <w:rsid w:val="00EB7821"/>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www.w3.org/XML/1998/namespace"/>
    <ds:schemaRef ds:uri="http://purl.org/dc/dcmitype/"/>
    <ds:schemaRef ds:uri="http://schemas.microsoft.com/office/2006/metadata/properties"/>
    <ds:schemaRef ds:uri="http://schemas.microsoft.com/office/infopath/2007/PartnerControls"/>
    <ds:schemaRef ds:uri="http://schemas.openxmlformats.org/package/2006/metadata/core-properties"/>
    <ds:schemaRef ds:uri="http://purl.org/dc/elements/1.1/"/>
    <ds:schemaRef ds:uri="efb7f1d3-2f00-4f20-b7f7-b4cd1648c34e"/>
    <ds:schemaRef ds:uri="331bc5fa-37a0-4eaf-92e6-e8f500860589"/>
    <ds:schemaRef ds:uri="http://purl.org/dc/term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0CA1694-7392-46B6-8D32-3F8D8DF110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278</TotalTime>
  <Pages>14</Pages>
  <Words>216393</Words>
  <Characters>1233445</Characters>
  <Application>Microsoft Office Word</Application>
  <DocSecurity>8</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8</cp:revision>
  <cp:lastPrinted>2020-04-16T14:23:00Z</cp:lastPrinted>
  <dcterms:created xsi:type="dcterms:W3CDTF">2023-12-14T12:58:00Z</dcterms:created>
  <dcterms:modified xsi:type="dcterms:W3CDTF">2024-05-09T06:34:00Z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