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A152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A152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A152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A152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A152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A152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A152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A152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A152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A152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A152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A152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A152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F8B0135" w:rsidR="00355460" w:rsidRPr="00E263EC" w:rsidRDefault="00511140"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C1C6151" w:rsidR="00B66AF3" w:rsidRDefault="00511140" w:rsidP="00B66AF3">
          <w:r>
            <w:t>5.3.1 Proportion of women aged 20-24 years who were married or in a union before age 15 [5.3.1] (SP_DYN_MRBF15)</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284C26E" w:rsidR="00FD54D7" w:rsidRDefault="00854539" w:rsidP="002806B7">
      <w:pPr>
        <w:spacing w:after="0"/>
        <w:rPr>
          <w:sz w:val="26"/>
          <w:szCs w:val="26"/>
        </w:rPr>
      </w:pPr>
      <w:r>
        <w:rPr>
          <w:noProof/>
          <w:sz w:val="26"/>
          <w:szCs w:val="26"/>
        </w:rPr>
        <w:drawing>
          <wp:inline distT="0" distB="0" distL="0" distR="0" wp14:anchorId="0620FBD8" wp14:editId="6C13111F">
            <wp:extent cx="914400" cy="304800"/>
            <wp:effectExtent l="0" t="0" r="0" b="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3A90169B">
            <wp:extent cx="1165860" cy="304800"/>
            <wp:effectExtent l="0" t="0" r="0" b="0"/>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586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249DEA6" w:rsidR="0077584C" w:rsidRDefault="00511140"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B0E3D2B" w:rsidR="00F7784D" w:rsidRDefault="00511140"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C58A166" w:rsidR="00F54570" w:rsidRDefault="00854539" w:rsidP="00355460">
      <w:r>
        <w:rPr>
          <w:noProof/>
        </w:rPr>
        <w:drawing>
          <wp:inline distT="0" distB="0" distL="0" distR="0" wp14:anchorId="196EDF24" wp14:editId="0F16E4EA">
            <wp:extent cx="1775460" cy="304800"/>
            <wp:effectExtent l="0" t="0" r="0"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5460" cy="304800"/>
                    </a:xfrm>
                    <a:prstGeom prst="rect">
                      <a:avLst/>
                    </a:prstGeom>
                    <a:noFill/>
                    <a:ln>
                      <a:noFill/>
                    </a:ln>
                  </pic:spPr>
                </pic:pic>
              </a:graphicData>
            </a:graphic>
          </wp:inline>
        </w:drawing>
      </w:r>
      <w:r w:rsidR="003E117E">
        <w:t xml:space="preserve">             </w:t>
      </w:r>
      <w:r>
        <w:rPr>
          <w:noProof/>
        </w:rPr>
        <w:drawing>
          <wp:inline distT="0" distB="0" distL="0" distR="0" wp14:anchorId="3CF05049" wp14:editId="115B339E">
            <wp:extent cx="2537460" cy="3048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746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05E7473" w:rsidR="005377B9" w:rsidRPr="009F305C" w:rsidRDefault="0088654C" w:rsidP="009F305C">
            <w:r w:rsidRPr="00F72DEA">
              <w:t>Achieve gender equality and empower all women and girls</w:t>
            </w:r>
            <w:r>
              <w: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E932819" w:rsidR="005377B9" w:rsidRPr="009F305C" w:rsidRDefault="0088654C" w:rsidP="009F305C">
            <w:r w:rsidRPr="00C8056C">
              <w:t>Eliminate all harmful practices, such as child, early and forced marriage and female genital mutilation</w:t>
            </w:r>
            <w:r>
              <w:t>]</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0917FA9" w14:textId="1FC7F462" w:rsidR="00870804" w:rsidRPr="00860655" w:rsidRDefault="00870804" w:rsidP="00870804">
            <w:pPr>
              <w:pStyle w:val="MGTHeader"/>
              <w:rPr>
                <w:rFonts w:eastAsiaTheme="minorHAnsi" w:cstheme="minorBidi"/>
                <w:color w:val="auto"/>
                <w:sz w:val="22"/>
                <w:szCs w:val="22"/>
                <w:lang w:val="en-US" w:eastAsia="en-US"/>
              </w:rPr>
            </w:pPr>
            <w:r w:rsidRPr="00860655">
              <w:rPr>
                <w:rFonts w:eastAsiaTheme="minorHAnsi" w:cstheme="minorBidi"/>
                <w:color w:val="auto"/>
                <w:sz w:val="22"/>
                <w:szCs w:val="22"/>
                <w:lang w:val="en-US" w:eastAsia="en-US"/>
              </w:rPr>
              <w:t>Proportion of women aged 20–24 years who were married or in a union before age 15 and before age 18</w:t>
            </w:r>
          </w:p>
          <w:p w14:paraId="48669CAE" w14:textId="67584665"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31016756"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C3AC919" w:rsidR="005377B9" w:rsidRPr="009F305C" w:rsidRDefault="00511140" w:rsidP="009F305C">
            <w:r>
              <w:t>2022</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BFAC39C" w14:textId="3BF82EC3" w:rsidR="00302457" w:rsidRPr="00302457" w:rsidRDefault="0074227B" w:rsidP="00302457">
            <w:r>
              <w:t>Not applicable</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B0CB951" w:rsidR="005377B9" w:rsidRPr="00951167" w:rsidRDefault="00951167" w:rsidP="00951167">
            <w:pPr>
              <w:pStyle w:val="MGTHeader"/>
              <w:rPr>
                <w:color w:val="4A4A4A"/>
              </w:rPr>
            </w:pPr>
            <w:r w:rsidRPr="00860655">
              <w:rPr>
                <w:rFonts w:eastAsiaTheme="minorHAnsi" w:cstheme="minorBidi"/>
                <w:color w:val="auto"/>
                <w:sz w:val="22"/>
                <w:szCs w:val="22"/>
                <w:lang w:val="en-US" w:eastAsia="en-US"/>
              </w:rPr>
              <w:t>United Nations Children's Fund (UNICEF)</w:t>
            </w:r>
            <w:r w:rsidR="00870804" w:rsidRPr="00860655">
              <w:rPr>
                <w:rFonts w:eastAsiaTheme="minorHAnsi" w:cstheme="minorBidi"/>
                <w:color w:val="auto"/>
                <w:sz w:val="22"/>
                <w:szCs w:val="22"/>
                <w:lang w:val="en-US" w:eastAsia="en-US"/>
              </w:rPr>
              <w:t>, United Nations Population fund (UNFPA), United Nations Women (UN Women), World Health Organisation (WHO) United Nations Development Programme (UNDP)</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1066527" w:rsidR="003E7389" w:rsidRPr="009F305C" w:rsidRDefault="00951167"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1AEDD73" w:rsidR="003E7389" w:rsidRPr="009F305C" w:rsidRDefault="00860655" w:rsidP="009F305C">
            <w:r>
              <w:t>Senior Manager, Population Statistics Division</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608D7D5" w:rsidR="003E7389" w:rsidRPr="009F305C" w:rsidRDefault="00860655" w:rsidP="009F305C">
            <w:r>
              <w:t>Population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9FB88BB" w:rsidR="003E7389" w:rsidRPr="009F305C" w:rsidRDefault="008E1209" w:rsidP="009F305C">
            <w:r w:rsidRPr="008E1209">
              <w:t>Collect, compile, analyze and disseminate statistics on governance peace and security, gender, education and health.</w:t>
            </w:r>
            <w:bookmarkStart w:id="13" w:name="_GoBack"/>
            <w:bookmarkEnd w:id="13"/>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6602180" w:rsidR="003E7389" w:rsidRPr="009F305C" w:rsidRDefault="00FF775B" w:rsidP="009F305C">
            <w:r>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E984BF4" w:rsidR="003E7389" w:rsidRPr="009F305C" w:rsidRDefault="00FF775B" w:rsidP="009F305C">
            <w:r>
              <w:t>30266-00100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513DB270" w:rsidR="003E7389" w:rsidRPr="009F305C" w:rsidRDefault="007A152B" w:rsidP="009F305C">
            <w:hyperlink r:id="rId17" w:history="1">
              <w:r w:rsidR="00860655" w:rsidRPr="007D1D7F">
                <w:rPr>
                  <w:rStyle w:val="Hyperlink"/>
                </w:rPr>
                <w:t>dpss@knbs.or.ke</w:t>
              </w:r>
            </w:hyperlink>
            <w:r w:rsidR="00860655">
              <w:t xml:space="preserve"> </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2AFFB76" w14:textId="77777777" w:rsidR="0074227B" w:rsidRPr="00860655" w:rsidRDefault="004A62E9" w:rsidP="0074227B">
            <w:pPr>
              <w:shd w:val="clear" w:color="auto" w:fill="FFFFFF"/>
              <w:spacing w:after="0"/>
              <w:contextualSpacing/>
            </w:pPr>
            <w:r w:rsidRPr="00FF01A1">
              <w:rPr>
                <w:b/>
                <w:bCs/>
              </w:rPr>
              <w:t>Definition</w:t>
            </w:r>
            <w:r w:rsidRPr="00860655">
              <w:t>:</w:t>
            </w:r>
            <w:r w:rsidR="0084014E" w:rsidRPr="00860655">
              <w:t xml:space="preserve"> </w:t>
            </w:r>
            <w:r w:rsidR="0074227B" w:rsidRPr="00860655">
              <w:t>Proportion of women aged 20-24 years who were married or in a union before age 15 and before age 18.</w:t>
            </w:r>
          </w:p>
          <w:p w14:paraId="54D55270" w14:textId="544EA8DF" w:rsidR="00830563" w:rsidRDefault="00830563" w:rsidP="004A62E9">
            <w:pPr>
              <w:pStyle w:val="MText"/>
              <w:rPr>
                <w:b/>
                <w:bCs/>
              </w:rPr>
            </w:pPr>
          </w:p>
          <w:p w14:paraId="41D4E5EE" w14:textId="5800948A" w:rsidR="004A62E9" w:rsidRDefault="004A62E9" w:rsidP="004A62E9">
            <w:pPr>
              <w:pStyle w:val="MText"/>
              <w:rPr>
                <w:b/>
                <w:bCs/>
              </w:rPr>
            </w:pPr>
            <w:r w:rsidRPr="00FF01A1">
              <w:rPr>
                <w:b/>
                <w:bCs/>
              </w:rPr>
              <w:t>Concepts:</w:t>
            </w:r>
          </w:p>
          <w:p w14:paraId="74E4A675" w14:textId="77777777" w:rsidR="00171927" w:rsidRPr="00F14878" w:rsidRDefault="00171927" w:rsidP="004A62E9">
            <w:pPr>
              <w:pStyle w:val="MText"/>
              <w:rPr>
                <w:b/>
                <w:bCs/>
              </w:rPr>
            </w:pPr>
          </w:p>
          <w:p w14:paraId="6C84E827" w14:textId="75051769" w:rsidR="0015178E" w:rsidRPr="0074227B" w:rsidRDefault="0074227B" w:rsidP="0074227B">
            <w:pPr>
              <w:shd w:val="clear" w:color="auto" w:fill="FFFFFF"/>
              <w:spacing w:after="0"/>
              <w:contextualSpacing/>
              <w:rPr>
                <w:rFonts w:eastAsia="Times New Roman" w:cs="Times New Roman"/>
                <w:color w:val="4A4A4A"/>
                <w:sz w:val="21"/>
                <w:szCs w:val="21"/>
                <w:lang w:eastAsia="en-GB"/>
              </w:rPr>
            </w:pPr>
            <w:r w:rsidRPr="00860655">
              <w:t xml:space="preserve">Both formal (i.e., marriages) and informal unions are covered under this indicator. Informal unions are generally defined as </w:t>
            </w:r>
            <w:r w:rsidRPr="00860655">
              <w:lastRenderedPageBreak/>
              <w:t>those in which a couple lives together for some time, intends to have a lasting relationship, but for which there has been no formal civil or religious ceremony (i.e., cohabitation).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EFE2FC3" w:rsidR="0015178E" w:rsidRPr="009F305C" w:rsidRDefault="00F10099" w:rsidP="00860655">
            <w:pPr>
              <w:shd w:val="clear" w:color="auto" w:fill="FFFFFF"/>
              <w:spacing w:after="0"/>
              <w:contextualSpacing/>
            </w:pPr>
            <w:r>
              <w:t>P</w:t>
            </w:r>
            <w:r w:rsidR="0074227B">
              <w:t>ercent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2229F4C"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FCA6475" w:rsidR="0035311B" w:rsidRPr="009F305C" w:rsidRDefault="00870804" w:rsidP="00860655">
            <w:pPr>
              <w:shd w:val="clear" w:color="auto" w:fill="FFFFFF"/>
              <w:spacing w:after="0"/>
              <w:contextualSpacing/>
            </w:pPr>
            <w:r>
              <w:t>The indicator captures all formal and informal cohabiting unions. For comparability, age 18 is used as a standard across countries as the common age of majority, though the threshold age between childhood and adulthood varies across countries, as does the legal age at marriage.</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5A2BD61" w:rsidR="0035311B" w:rsidRPr="009F305C" w:rsidRDefault="0024115B" w:rsidP="00860655">
            <w:pPr>
              <w:shd w:val="clear" w:color="auto" w:fill="FFFFFF"/>
              <w:spacing w:after="0"/>
              <w:contextualSpacing/>
            </w:pPr>
            <w:r w:rsidRPr="00C8056C">
              <w:t xml:space="preserve">Household surveys such as </w:t>
            </w:r>
            <w:r>
              <w:t>K</w:t>
            </w:r>
            <w:r w:rsidRPr="00C8056C">
              <w:t xml:space="preserve">DHS have been collecting data on this indicator </w:t>
            </w:r>
            <w:r>
              <w:t>from 1998 to 2022]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4BF7473" w:rsidR="0035311B" w:rsidRPr="00A94305" w:rsidRDefault="00A26213" w:rsidP="00A26213">
            <w:r w:rsidRPr="00A26213">
              <w:t>The</w:t>
            </w:r>
            <w:r w:rsidR="00A94305">
              <w:t xml:space="preserve">2014 and </w:t>
            </w:r>
            <w:r w:rsidRPr="00A26213">
              <w:t>2022 KDHS collected information on</w:t>
            </w:r>
            <w:r w:rsidR="00B35EAF">
              <w:t xml:space="preserve"> proportion of women aged 20-24 years who were married or in a union before age 15 and </w:t>
            </w:r>
            <w:r w:rsidR="006E4ABE">
              <w:t>18 years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57BE7B6" w:rsidR="0035311B" w:rsidRPr="009F305C" w:rsidRDefault="009E215F" w:rsidP="009F305C">
            <w:r>
              <w:t>Every 5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1B3B004" w:rsidR="0035311B" w:rsidRPr="009F305C" w:rsidRDefault="005017A6" w:rsidP="009F305C">
            <w:r>
              <w:t>2022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ED6F5F1" w:rsidR="0035311B" w:rsidRPr="009F305C" w:rsidRDefault="009E215F" w:rsidP="009F305C">
            <w:r>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0B64D76" w:rsidR="0035311B" w:rsidRPr="009F305C" w:rsidRDefault="004C0B5C" w:rsidP="009F305C">
            <w:r>
              <w:t xml:space="preserve">Kenya National Bureau of </w:t>
            </w:r>
            <w:r w:rsidR="00A841A2">
              <w:t>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1A5A01DC" w14:textId="1F8D5CA8" w:rsidR="00E81C47" w:rsidRDefault="00E81C47" w:rsidP="00E81C47">
            <w:r>
              <w:t>K</w:t>
            </w:r>
            <w:r w:rsidR="005017A6">
              <w:t xml:space="preserve">enya </w:t>
            </w:r>
            <w:r>
              <w:t>N</w:t>
            </w:r>
            <w:r w:rsidR="005017A6">
              <w:t xml:space="preserve">ational </w:t>
            </w:r>
            <w:r>
              <w:t>B</w:t>
            </w:r>
            <w:r w:rsidR="005017A6">
              <w:t xml:space="preserve">ureau of </w:t>
            </w:r>
            <w:r>
              <w:t>S</w:t>
            </w:r>
            <w:r w:rsidR="005017A6">
              <w:t>tatistics (KNBS</w:t>
            </w:r>
          </w:p>
          <w:p w14:paraId="41F1F312" w14:textId="4CA93FAC" w:rsidR="00E81C47" w:rsidRPr="009F305C" w:rsidRDefault="00E81C47" w:rsidP="00E81C47">
            <w:r w:rsidRPr="000F4F09">
              <w:t>KNBS is established under the Statistics Act, 2006 as the principal agency of the Government for collecting, analyzing and disseminating statistical data in Kenya and as the custodian of official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8667ABE" w14:textId="77777777" w:rsidR="00860655" w:rsidRPr="008073D8" w:rsidRDefault="00860655" w:rsidP="00860655">
            <w:pPr>
              <w:shd w:val="clear" w:color="auto" w:fill="FFFFFF"/>
              <w:spacing w:after="0"/>
              <w:contextualSpacing/>
              <w:rPr>
                <w:rFonts w:eastAsia="Times New Roman" w:cs="Times New Roman"/>
                <w:sz w:val="21"/>
                <w:szCs w:val="21"/>
                <w:lang w:eastAsia="en-GB"/>
              </w:rPr>
            </w:pPr>
            <w:r w:rsidRPr="008073D8">
              <w:rPr>
                <w:rFonts w:eastAsia="Times New Roman" w:cs="Times New Roman"/>
                <w:sz w:val="21"/>
                <w:szCs w:val="21"/>
                <w:lang w:eastAsia="en-GB"/>
              </w:rPr>
              <w:t xml:space="preserve">Marriage before the age of 18 is a fundamental violation of human rights. Child marriage often compromises a girl’s development by resulting in early pregnancy and social isolation, interrupting her schooling, limiting her opportunities for career and vocational advancement and placing her at increased risk of </w:t>
            </w:r>
            <w:r w:rsidRPr="008073D8">
              <w:rPr>
                <w:rFonts w:eastAsia="Times New Roman" w:cs="Times New Roman"/>
                <w:sz w:val="21"/>
                <w:szCs w:val="21"/>
                <w:lang w:eastAsia="en-GB"/>
              </w:rPr>
              <w:lastRenderedPageBreak/>
              <w:t xml:space="preserve">intimate partner violence. In many cultures, girls reaching puberty are expected to assume gender roles associated with womanhood. These include entering a union and becoming a mother. The practice of early/child marriage is a direct manifestation of gender inequality. </w:t>
            </w:r>
          </w:p>
          <w:p w14:paraId="7E7F8C82" w14:textId="77777777" w:rsidR="00860655" w:rsidRPr="008073D8" w:rsidRDefault="00860655" w:rsidP="00860655">
            <w:pPr>
              <w:pStyle w:val="NoSpacing"/>
            </w:pPr>
          </w:p>
          <w:p w14:paraId="7E3E4DFC" w14:textId="77777777" w:rsidR="00860655" w:rsidRPr="008073D8" w:rsidRDefault="00860655" w:rsidP="00860655">
            <w:pPr>
              <w:shd w:val="clear" w:color="auto" w:fill="FFFFFF"/>
              <w:spacing w:after="0"/>
              <w:contextualSpacing/>
              <w:rPr>
                <w:rFonts w:eastAsia="Times New Roman" w:cs="Times New Roman"/>
                <w:sz w:val="21"/>
                <w:szCs w:val="21"/>
                <w:lang w:eastAsia="en-GB"/>
              </w:rPr>
            </w:pPr>
            <w:r w:rsidRPr="008073D8">
              <w:rPr>
                <w:rFonts w:eastAsia="Times New Roman" w:cs="Times New Roman"/>
                <w:sz w:val="21"/>
                <w:szCs w:val="21"/>
                <w:lang w:eastAsia="en-GB"/>
              </w:rPr>
              <w:t xml:space="preserve">The issue of child marriage is addressed in a number of international conventions and agreements. Although marriage is not mentioned directly in the Convention on the Rights of the Child, child marriage is linked to other rights – such as the right to freedom of expression, the </w:t>
            </w:r>
            <w:r w:rsidRPr="008073D8">
              <w:t>right</w:t>
            </w:r>
            <w:r w:rsidRPr="008073D8">
              <w:rPr>
                <w:rFonts w:eastAsia="Times New Roman" w:cs="Times New Roman"/>
                <w:sz w:val="21"/>
                <w:szCs w:val="21"/>
                <w:lang w:eastAsia="en-GB"/>
              </w:rPr>
              <w:t xml:space="preserve"> to protection from all forms of abuse, and the right to be protected from harmful traditional practices.</w:t>
            </w:r>
          </w:p>
          <w:p w14:paraId="2E3517AC" w14:textId="4CC695DD" w:rsidR="007F2D9F" w:rsidRPr="008073D8" w:rsidRDefault="007F2D9F" w:rsidP="003A445C">
            <w:pPr>
              <w:pStyle w:val="MText"/>
              <w:jc w:val="both"/>
              <w:rPr>
                <w:color w:val="auto"/>
              </w:rPr>
            </w:p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D0D8348"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9D084B5" w:rsidR="007F2D9F" w:rsidRPr="008073D8" w:rsidRDefault="008073D8" w:rsidP="009B505A">
            <w:pPr>
              <w:pStyle w:val="MText"/>
              <w:rPr>
                <w:color w:val="auto"/>
              </w:rPr>
            </w:pPr>
            <w:r w:rsidRPr="008073D8">
              <w:rPr>
                <w:color w:val="auto"/>
              </w:rPr>
              <w:t>Number of women aged 20-24 who were first married or in union before age 15 (or before age 18) divided by the total number of women aged 20-24 in the population multiplied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16A0AA23"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23D75C28"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3DBB2BD6" w:rsidR="007F2D9F" w:rsidRPr="009F305C" w:rsidRDefault="004E1D18"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1DEA871" w:rsidR="007F2D9F" w:rsidRPr="009F305C" w:rsidRDefault="006E364D" w:rsidP="006E364D">
            <w:r w:rsidRPr="00535018">
              <w:t>KNBS developed a quality assurance framework (</w:t>
            </w:r>
            <w:proofErr w:type="spellStart"/>
            <w:r w:rsidRPr="00535018">
              <w:t>KeSQAF</w:t>
            </w:r>
            <w:proofErr w:type="spellEnd"/>
            <w:r w:rsidRPr="00535018">
              <w:t>), to record and reference the full range of quality concepts, dimensions, and practices. These include; Relevance, accuracy, reliability, timeliness, punctuality, accessibility, clarity, coherence, consistency, methodological soundness, and integrity.</w:t>
            </w:r>
            <w:r>
              <w: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2328F8D" w14:textId="77777777" w:rsidR="00057EEF" w:rsidRDefault="00057EEF" w:rsidP="00057EEF">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38B9DB2E" w:rsidR="007F2D9F" w:rsidRPr="009F305C" w:rsidRDefault="00057EEF" w:rsidP="00057EEF">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7706AF3" w14:textId="77777777" w:rsidR="00057EEF" w:rsidRDefault="00057EEF" w:rsidP="00057EEF">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14A75D7F" w14:textId="4EC3A4EC" w:rsidR="007F2D9F" w:rsidRPr="009F305C" w:rsidRDefault="00057EEF" w:rsidP="00057EEF">
            <w:r>
              <w:t>Data consistency and quality checks are conducted through Technical Working Groups (TWGs) before publication and dissemination.</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6F342D27"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119CECB" w:rsidR="006A7EF1" w:rsidRPr="009F305C" w:rsidRDefault="00721E4B" w:rsidP="00721E4B">
            <w:pPr>
              <w:pStyle w:val="MText"/>
            </w:pPr>
            <w:r>
              <w:t>The estimates compiled and presented at global level come directly from nationally produced data and are not adjusted or recalculated.]</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B76FE00" w14:textId="451D3AE5" w:rsidR="006F104C" w:rsidRDefault="007A152B" w:rsidP="009F305C">
            <w:hyperlink r:id="rId18" w:history="1">
              <w:r w:rsidR="00EF1F77" w:rsidRPr="00F91029">
                <w:rPr>
                  <w:rStyle w:val="Hyperlink"/>
                </w:rPr>
                <w:t>https://gender.go.ke/wp-content/uploads/2019/10/NATIONAL-POLICY-FOR-THE-ERADICATION-OF-FEMALE-GENITAL-MUTILATION-.pdf</w:t>
              </w:r>
            </w:hyperlink>
          </w:p>
          <w:p w14:paraId="5FC40E72" w14:textId="77777777" w:rsidR="00EF1F77" w:rsidRDefault="007A152B" w:rsidP="009F305C">
            <w:hyperlink r:id="rId19" w:history="1">
              <w:r w:rsidR="00EF1F77" w:rsidRPr="00F91029">
                <w:rPr>
                  <w:rStyle w:val="Hyperlink"/>
                </w:rPr>
                <w:t>https://www.who.int/teams/sexual-and-reproductive-health-and-research-(srh)/areas-of-work/female-genital-mutilation/types-of-female-genital-mutilation</w:t>
              </w:r>
            </w:hyperlink>
            <w:r w:rsidR="00EF1F77">
              <w:t xml:space="preserve"> ]</w:t>
            </w:r>
          </w:p>
          <w:p w14:paraId="56A44DF3" w14:textId="77777777" w:rsidR="00005539" w:rsidRDefault="007A152B" w:rsidP="009F305C">
            <w:pPr>
              <w:rPr>
                <w:rStyle w:val="Hyperlink"/>
                <w:rFonts w:eastAsia="Times New Roman" w:cs="Times New Roman"/>
                <w:sz w:val="21"/>
                <w:szCs w:val="21"/>
                <w:lang w:eastAsia="en-GB"/>
              </w:rPr>
            </w:pPr>
            <w:hyperlink r:id="rId20" w:history="1">
              <w:r w:rsidR="00005539" w:rsidRPr="00E95C8A">
                <w:rPr>
                  <w:rStyle w:val="Hyperlink"/>
                </w:rPr>
                <w:t>https://data.unicef.org/topic/child-protection/female-genital-mutilation/</w:t>
              </w:r>
            </w:hyperlink>
          </w:p>
          <w:p w14:paraId="0E510F07" w14:textId="77777777" w:rsidR="00005539" w:rsidRDefault="007A152B" w:rsidP="009F305C">
            <w:hyperlink r:id="rId21" w:history="1">
              <w:r w:rsidR="00005539" w:rsidRPr="00F91029">
                <w:rPr>
                  <w:rStyle w:val="Hyperlink"/>
                </w:rPr>
                <w:t>https://data.unicef.org/resources/a-generation-to-protect/</w:t>
              </w:r>
            </w:hyperlink>
            <w:r w:rsidR="00005539">
              <w:t xml:space="preserve"> </w:t>
            </w:r>
          </w:p>
          <w:p w14:paraId="127FB56F" w14:textId="49962B4E" w:rsidR="005017A6" w:rsidRPr="009F305C" w:rsidRDefault="007A152B" w:rsidP="009F305C">
            <w:hyperlink r:id="rId22" w:tgtFrame="_blank" w:history="1">
              <w:r w:rsidR="005017A6" w:rsidRPr="00057EEF">
                <w:rPr>
                  <w:rStyle w:val="Hyperlink"/>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lastRenderedPageBreak/>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422785E" w14:textId="77777777" w:rsidR="007A152B" w:rsidRDefault="007A152B" w:rsidP="006B0512">
      <w:pPr>
        <w:spacing w:after="0" w:line="240" w:lineRule="auto"/>
      </w:pPr>
      <w:r>
        <w:separator/>
      </w:r>
    </w:p>
  </w:endnote>
  <w:endnote w:type="continuationSeparator" w:id="0">
    <w:p w14:paraId="6F14CFF3" w14:textId="77777777" w:rsidR="007A152B" w:rsidRDefault="007A152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6B5B8C1F" w:rsidR="00EF453F" w:rsidRDefault="00EF453F">
        <w:pPr>
          <w:pStyle w:val="Footer"/>
          <w:jc w:val="right"/>
        </w:pPr>
        <w:r>
          <w:fldChar w:fldCharType="begin"/>
        </w:r>
        <w:r>
          <w:instrText xml:space="preserve"> PAGE   \* MERGEFORMAT </w:instrText>
        </w:r>
        <w:r>
          <w:fldChar w:fldCharType="separate"/>
        </w:r>
        <w:r w:rsidR="008E1209">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06788CEC" w:rsidR="00EF453F" w:rsidRDefault="00EF453F">
        <w:pPr>
          <w:pStyle w:val="Footer"/>
          <w:jc w:val="right"/>
        </w:pPr>
        <w:r>
          <w:fldChar w:fldCharType="begin"/>
        </w:r>
        <w:r>
          <w:instrText xml:space="preserve"> PAGE   \* MERGEFORMAT </w:instrText>
        </w:r>
        <w:r>
          <w:fldChar w:fldCharType="separate"/>
        </w:r>
        <w:r w:rsidR="008E1209">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25C69D1" w14:textId="77777777" w:rsidR="007A152B" w:rsidRDefault="007A152B" w:rsidP="006B0512">
      <w:pPr>
        <w:spacing w:after="0" w:line="240" w:lineRule="auto"/>
      </w:pPr>
      <w:r>
        <w:separator/>
      </w:r>
    </w:p>
  </w:footnote>
  <w:footnote w:type="continuationSeparator" w:id="0">
    <w:p w14:paraId="450CD0F8" w14:textId="77777777" w:rsidR="007A152B" w:rsidRDefault="007A152B"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CA4B6A"/>
    <w:multiLevelType w:val="multilevel"/>
    <w:tmpl w:val="B03433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5539"/>
    <w:rsid w:val="000149A9"/>
    <w:rsid w:val="0001762F"/>
    <w:rsid w:val="00022D87"/>
    <w:rsid w:val="00042B85"/>
    <w:rsid w:val="000434EA"/>
    <w:rsid w:val="00057EEF"/>
    <w:rsid w:val="000639BB"/>
    <w:rsid w:val="00071222"/>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57F08"/>
    <w:rsid w:val="00171927"/>
    <w:rsid w:val="001734AE"/>
    <w:rsid w:val="00183788"/>
    <w:rsid w:val="0018734D"/>
    <w:rsid w:val="001A0E35"/>
    <w:rsid w:val="001A6F28"/>
    <w:rsid w:val="001A7A65"/>
    <w:rsid w:val="001B6829"/>
    <w:rsid w:val="001C1BC2"/>
    <w:rsid w:val="001C6426"/>
    <w:rsid w:val="001D5B71"/>
    <w:rsid w:val="001E1E26"/>
    <w:rsid w:val="001F0C55"/>
    <w:rsid w:val="001F31C6"/>
    <w:rsid w:val="00202B2D"/>
    <w:rsid w:val="0020618B"/>
    <w:rsid w:val="0022035F"/>
    <w:rsid w:val="002313D6"/>
    <w:rsid w:val="00235F8D"/>
    <w:rsid w:val="0024115B"/>
    <w:rsid w:val="002525CC"/>
    <w:rsid w:val="002607BA"/>
    <w:rsid w:val="002639EF"/>
    <w:rsid w:val="00266557"/>
    <w:rsid w:val="002806B7"/>
    <w:rsid w:val="0029558C"/>
    <w:rsid w:val="002A631A"/>
    <w:rsid w:val="002A6E7E"/>
    <w:rsid w:val="002C065D"/>
    <w:rsid w:val="002C550A"/>
    <w:rsid w:val="002E449E"/>
    <w:rsid w:val="002E6DA3"/>
    <w:rsid w:val="00302457"/>
    <w:rsid w:val="00316CFE"/>
    <w:rsid w:val="003218D9"/>
    <w:rsid w:val="00325D2B"/>
    <w:rsid w:val="00344199"/>
    <w:rsid w:val="003514F3"/>
    <w:rsid w:val="00352386"/>
    <w:rsid w:val="0035311B"/>
    <w:rsid w:val="00355460"/>
    <w:rsid w:val="00372D21"/>
    <w:rsid w:val="00380958"/>
    <w:rsid w:val="003812B1"/>
    <w:rsid w:val="0039535F"/>
    <w:rsid w:val="003A3746"/>
    <w:rsid w:val="003A445C"/>
    <w:rsid w:val="003B1388"/>
    <w:rsid w:val="003B3C76"/>
    <w:rsid w:val="003E117E"/>
    <w:rsid w:val="003E7389"/>
    <w:rsid w:val="003E7F33"/>
    <w:rsid w:val="00406983"/>
    <w:rsid w:val="00413337"/>
    <w:rsid w:val="0041350B"/>
    <w:rsid w:val="00416A6D"/>
    <w:rsid w:val="00417B9F"/>
    <w:rsid w:val="00430958"/>
    <w:rsid w:val="00431B2F"/>
    <w:rsid w:val="00433D18"/>
    <w:rsid w:val="00435CCE"/>
    <w:rsid w:val="00462DB8"/>
    <w:rsid w:val="00463306"/>
    <w:rsid w:val="00470BED"/>
    <w:rsid w:val="00474834"/>
    <w:rsid w:val="0048556F"/>
    <w:rsid w:val="00490C58"/>
    <w:rsid w:val="004962C5"/>
    <w:rsid w:val="004A31AD"/>
    <w:rsid w:val="004A62E9"/>
    <w:rsid w:val="004C06A8"/>
    <w:rsid w:val="004C0B5C"/>
    <w:rsid w:val="004C665C"/>
    <w:rsid w:val="004D6154"/>
    <w:rsid w:val="004D68B6"/>
    <w:rsid w:val="004E1D18"/>
    <w:rsid w:val="004E3F4C"/>
    <w:rsid w:val="004E5702"/>
    <w:rsid w:val="004E5E1A"/>
    <w:rsid w:val="004F4616"/>
    <w:rsid w:val="00500E13"/>
    <w:rsid w:val="005017A6"/>
    <w:rsid w:val="00503263"/>
    <w:rsid w:val="00511140"/>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6058"/>
    <w:rsid w:val="005F5729"/>
    <w:rsid w:val="005F7B42"/>
    <w:rsid w:val="00604A6A"/>
    <w:rsid w:val="00611159"/>
    <w:rsid w:val="0061331D"/>
    <w:rsid w:val="00633477"/>
    <w:rsid w:val="00643134"/>
    <w:rsid w:val="006459EE"/>
    <w:rsid w:val="006560A4"/>
    <w:rsid w:val="00676DD2"/>
    <w:rsid w:val="0068379D"/>
    <w:rsid w:val="00693674"/>
    <w:rsid w:val="006A7EF1"/>
    <w:rsid w:val="006B0512"/>
    <w:rsid w:val="006B3527"/>
    <w:rsid w:val="006C075C"/>
    <w:rsid w:val="006C6768"/>
    <w:rsid w:val="006C783E"/>
    <w:rsid w:val="006D145D"/>
    <w:rsid w:val="006E1A7D"/>
    <w:rsid w:val="006E364D"/>
    <w:rsid w:val="006E4ABE"/>
    <w:rsid w:val="006F104C"/>
    <w:rsid w:val="006F2038"/>
    <w:rsid w:val="006F50E8"/>
    <w:rsid w:val="007100BD"/>
    <w:rsid w:val="00721E4B"/>
    <w:rsid w:val="00736C17"/>
    <w:rsid w:val="00736C4F"/>
    <w:rsid w:val="0074227B"/>
    <w:rsid w:val="00751373"/>
    <w:rsid w:val="00755623"/>
    <w:rsid w:val="00772DE4"/>
    <w:rsid w:val="0077584C"/>
    <w:rsid w:val="00776312"/>
    <w:rsid w:val="00791932"/>
    <w:rsid w:val="007A078A"/>
    <w:rsid w:val="007A152B"/>
    <w:rsid w:val="007A2617"/>
    <w:rsid w:val="007A28BA"/>
    <w:rsid w:val="007B2E39"/>
    <w:rsid w:val="007C2733"/>
    <w:rsid w:val="007C63C4"/>
    <w:rsid w:val="007E4EE0"/>
    <w:rsid w:val="007F2D9F"/>
    <w:rsid w:val="007F5448"/>
    <w:rsid w:val="007F6520"/>
    <w:rsid w:val="00806D18"/>
    <w:rsid w:val="008073D8"/>
    <w:rsid w:val="00810C60"/>
    <w:rsid w:val="00830563"/>
    <w:rsid w:val="00835390"/>
    <w:rsid w:val="0084014E"/>
    <w:rsid w:val="00851DF8"/>
    <w:rsid w:val="008521A2"/>
    <w:rsid w:val="00852454"/>
    <w:rsid w:val="00854539"/>
    <w:rsid w:val="00860655"/>
    <w:rsid w:val="00870804"/>
    <w:rsid w:val="0088654C"/>
    <w:rsid w:val="00895A6E"/>
    <w:rsid w:val="008A7300"/>
    <w:rsid w:val="008C141D"/>
    <w:rsid w:val="008D775E"/>
    <w:rsid w:val="008E09AA"/>
    <w:rsid w:val="008E1209"/>
    <w:rsid w:val="008E4413"/>
    <w:rsid w:val="008E4D2D"/>
    <w:rsid w:val="008E6037"/>
    <w:rsid w:val="008F0F40"/>
    <w:rsid w:val="00911199"/>
    <w:rsid w:val="009165F2"/>
    <w:rsid w:val="009367AA"/>
    <w:rsid w:val="00951167"/>
    <w:rsid w:val="0095215C"/>
    <w:rsid w:val="0095217A"/>
    <w:rsid w:val="00952376"/>
    <w:rsid w:val="00954FBE"/>
    <w:rsid w:val="00957C60"/>
    <w:rsid w:val="00964097"/>
    <w:rsid w:val="00970B70"/>
    <w:rsid w:val="00970E8E"/>
    <w:rsid w:val="00971FA7"/>
    <w:rsid w:val="00972E38"/>
    <w:rsid w:val="009739C8"/>
    <w:rsid w:val="00975BAF"/>
    <w:rsid w:val="009A5BA4"/>
    <w:rsid w:val="009B505A"/>
    <w:rsid w:val="009C3D6B"/>
    <w:rsid w:val="009D6291"/>
    <w:rsid w:val="009D6F69"/>
    <w:rsid w:val="009E049D"/>
    <w:rsid w:val="009E215F"/>
    <w:rsid w:val="009E5D6E"/>
    <w:rsid w:val="009F305C"/>
    <w:rsid w:val="00A167C6"/>
    <w:rsid w:val="00A200D3"/>
    <w:rsid w:val="00A242D8"/>
    <w:rsid w:val="00A26213"/>
    <w:rsid w:val="00A3532A"/>
    <w:rsid w:val="00A35656"/>
    <w:rsid w:val="00A36E8B"/>
    <w:rsid w:val="00A4314D"/>
    <w:rsid w:val="00A5114C"/>
    <w:rsid w:val="00A64C04"/>
    <w:rsid w:val="00A67357"/>
    <w:rsid w:val="00A804A0"/>
    <w:rsid w:val="00A841A2"/>
    <w:rsid w:val="00A91915"/>
    <w:rsid w:val="00A92C73"/>
    <w:rsid w:val="00A94305"/>
    <w:rsid w:val="00AA38A9"/>
    <w:rsid w:val="00AB3421"/>
    <w:rsid w:val="00AB65AE"/>
    <w:rsid w:val="00AD26C4"/>
    <w:rsid w:val="00AE7A74"/>
    <w:rsid w:val="00AF2FE1"/>
    <w:rsid w:val="00B137EE"/>
    <w:rsid w:val="00B13CEC"/>
    <w:rsid w:val="00B35EAF"/>
    <w:rsid w:val="00B66AF3"/>
    <w:rsid w:val="00B71AEA"/>
    <w:rsid w:val="00B74489"/>
    <w:rsid w:val="00B8102F"/>
    <w:rsid w:val="00B818CA"/>
    <w:rsid w:val="00B97297"/>
    <w:rsid w:val="00B979B1"/>
    <w:rsid w:val="00BA71B8"/>
    <w:rsid w:val="00BB1810"/>
    <w:rsid w:val="00BB553B"/>
    <w:rsid w:val="00BD7158"/>
    <w:rsid w:val="00C057EA"/>
    <w:rsid w:val="00C05B22"/>
    <w:rsid w:val="00C141AF"/>
    <w:rsid w:val="00C175B6"/>
    <w:rsid w:val="00C210B4"/>
    <w:rsid w:val="00C22A2E"/>
    <w:rsid w:val="00C42347"/>
    <w:rsid w:val="00C47725"/>
    <w:rsid w:val="00C605D4"/>
    <w:rsid w:val="00C94E79"/>
    <w:rsid w:val="00CA1CE9"/>
    <w:rsid w:val="00CA6252"/>
    <w:rsid w:val="00CA7FA5"/>
    <w:rsid w:val="00CB7B0D"/>
    <w:rsid w:val="00CC5969"/>
    <w:rsid w:val="00CD4533"/>
    <w:rsid w:val="00CF4869"/>
    <w:rsid w:val="00CF504E"/>
    <w:rsid w:val="00CF5842"/>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765E3"/>
    <w:rsid w:val="00E81C47"/>
    <w:rsid w:val="00E842C7"/>
    <w:rsid w:val="00E953F3"/>
    <w:rsid w:val="00EA631B"/>
    <w:rsid w:val="00EA6E73"/>
    <w:rsid w:val="00EB3760"/>
    <w:rsid w:val="00EC064B"/>
    <w:rsid w:val="00EC6024"/>
    <w:rsid w:val="00ED0B2F"/>
    <w:rsid w:val="00ED7C0D"/>
    <w:rsid w:val="00EE0212"/>
    <w:rsid w:val="00EE2FF0"/>
    <w:rsid w:val="00EE4BB5"/>
    <w:rsid w:val="00EE79CF"/>
    <w:rsid w:val="00EF1F77"/>
    <w:rsid w:val="00EF453F"/>
    <w:rsid w:val="00F00F69"/>
    <w:rsid w:val="00F00FDD"/>
    <w:rsid w:val="00F01713"/>
    <w:rsid w:val="00F02B1E"/>
    <w:rsid w:val="00F07040"/>
    <w:rsid w:val="00F10099"/>
    <w:rsid w:val="00F14878"/>
    <w:rsid w:val="00F2310E"/>
    <w:rsid w:val="00F54570"/>
    <w:rsid w:val="00F75853"/>
    <w:rsid w:val="00F7784D"/>
    <w:rsid w:val="00F8144F"/>
    <w:rsid w:val="00F8462A"/>
    <w:rsid w:val="00F862A7"/>
    <w:rsid w:val="00F93763"/>
    <w:rsid w:val="00F939A2"/>
    <w:rsid w:val="00F96E8D"/>
    <w:rsid w:val="00FA20D9"/>
    <w:rsid w:val="00FB03D0"/>
    <w:rsid w:val="00FD54D7"/>
    <w:rsid w:val="00FF642D"/>
    <w:rsid w:val="00FF775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B1EF2FD"/>
  <w15:docId w15:val="{A0000F30-AC06-4099-87DC-EAB74FB2C32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UnresolvedMention">
    <w:name w:val="Unresolved Mention"/>
    <w:basedOn w:val="DefaultParagraphFont"/>
    <w:uiPriority w:val="99"/>
    <w:semiHidden/>
    <w:unhideWhenUsed/>
    <w:rsid w:val="0024115B"/>
    <w:rPr>
      <w:color w:val="605E5C"/>
      <w:shd w:val="clear" w:color="auto" w:fill="E1DFDD"/>
    </w:rPr>
  </w:style>
  <w:style w:type="paragraph" w:styleId="NoSpacing">
    <w:name w:val="No Spacing"/>
    <w:uiPriority w:val="1"/>
    <w:qFormat/>
    <w:rsid w:val="00860655"/>
    <w:pPr>
      <w:spacing w:after="0" w:line="240" w:lineRule="auto"/>
    </w:pPr>
    <w:rPr>
      <w:rFonts w:eastAsiaTheme="minorEastAsia"/>
      <w:lang w:val="en-GB" w:eastAsia="zh-CN"/>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919042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gender.go.ke/wp-content/uploads/2019/10/NATIONAL-POLICY-FOR-THE-ERADICATION-OF-FEMALE-GENITAL-MUTILATION-.pdf" TargetMode="Externa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data.unicef.org/resources/a-generation-to-protect/"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mailto:dpss@knbs.or.ke"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hyperlink" Target="https://data.unicef.org/topic/child-protection/female-genital-mutilation/"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hyperlink" Target="https://www.who.int/teams/sexual-and-reproductive-health-and-research-(srh)/areas-of-work/female-genital-mutilation/types-of-female-genital-mutilation"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3A7959"/>
    <w:rsid w:val="00513846"/>
    <w:rsid w:val="006153AA"/>
    <w:rsid w:val="0064052E"/>
    <w:rsid w:val="006F5C68"/>
    <w:rsid w:val="007036D7"/>
    <w:rsid w:val="00760A1F"/>
    <w:rsid w:val="007D0AE8"/>
    <w:rsid w:val="0083799A"/>
    <w:rsid w:val="009A1F73"/>
    <w:rsid w:val="00BC1561"/>
    <w:rsid w:val="00C864FD"/>
    <w:rsid w:val="00D1076B"/>
    <w:rsid w:val="00DA061B"/>
    <w:rsid w:val="00E4246B"/>
    <w:rsid w:val="00E95E77"/>
    <w:rsid w:val="00E9691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A6F03055-1F38-47DC-8242-57804965106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1128</TotalTime>
  <Pages>1</Pages>
  <Words>216132</Words>
  <Characters>1231956</Characters>
  <Application>Microsoft Office Word</Application>
  <DocSecurity>8</DocSecurity>
  <Lines>10266</Lines>
  <Paragraphs>2890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1445198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36</cp:revision>
  <cp:lastPrinted>2020-04-16T14:23:00Z</cp:lastPrinted>
  <dcterms:created xsi:type="dcterms:W3CDTF">2023-12-14T11:59:00Z</dcterms:created>
  <dcterms:modified xsi:type="dcterms:W3CDTF">2024-05-07T11:14:00Z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