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B1A0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B1A0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B1A0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B1A0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B1A0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B1A0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B1A0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B1A0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B1A0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B1A0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B1A0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B1A0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B1A0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5B84E459" w:rsidR="00355460" w:rsidRPr="00E263EC" w:rsidRDefault="00BF1039"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67F8FE3" w:rsidR="00B66AF3" w:rsidRDefault="00BF1039" w:rsidP="00B66AF3">
          <w:r>
            <w:t>6.5.2 Proportion of transboundary basins (river and lake basins and aquifers) with an operational arrangement for water cooperation [6.5.2] (EG_TBA_H2CO)</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3716276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EF3C905" w:rsidR="0077584C" w:rsidRDefault="00BF1039"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52432FD" w:rsidR="00F7784D" w:rsidRDefault="00BF1039"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5B88005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16EDA89B" w:rsidR="005377B9" w:rsidRPr="009F305C" w:rsidRDefault="00963E87" w:rsidP="003B1A0C">
            <w:pPr>
              <w:pStyle w:val="MGTHeader"/>
            </w:pPr>
            <w:r w:rsidRPr="00322B0E">
              <w:t>Goal 6: Ensure availability and sustainable management of water and sanitation</w:t>
            </w:r>
            <w:r w:rsidR="003B1A0C">
              <w:t xml:space="preserve">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107B52" w14:textId="77777777" w:rsidR="00963E87" w:rsidRPr="00322B0E" w:rsidRDefault="00963E87" w:rsidP="00963E87">
            <w:pPr>
              <w:pStyle w:val="MGTHeader"/>
            </w:pPr>
            <w:r w:rsidRPr="00322B0E">
              <w:t>Target 6.5: By 2030, implement integrated water resources management at all levels, including through transboundary cooperation as appropriate</w:t>
            </w:r>
          </w:p>
          <w:p w14:paraId="5C7BE35B" w14:textId="1E4A67EE" w:rsidR="005377B9" w:rsidRPr="009F305C" w:rsidRDefault="005377B9" w:rsidP="009F305C">
            <w:bookmarkStart w:id="8" w:name="_GoBack"/>
            <w:bookmarkEnd w:id="8"/>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F51CE35" w14:textId="77777777" w:rsidR="00963E87" w:rsidRPr="00322B0E" w:rsidRDefault="00963E87" w:rsidP="00963E87">
            <w:pPr>
              <w:pStyle w:val="MGTHeader"/>
            </w:pPr>
            <w:r w:rsidRPr="00322B0E">
              <w:t>Indicator 6.5.2: Proportion of transboundary basin area with an operational arrangement for water cooperation</w:t>
            </w:r>
          </w:p>
          <w:p w14:paraId="48669CAE" w14:textId="77777777" w:rsidR="005377B9" w:rsidRPr="00963E87" w:rsidRDefault="005377B9" w:rsidP="009F305C">
            <w:pPr>
              <w:rPr>
                <w:lang w:val="en-GB"/>
              </w:rPr>
            </w:pP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6615587" w:rsidR="005377B9" w:rsidRPr="009F305C" w:rsidRDefault="006E7FFB" w:rsidP="009F305C">
            <w: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3CD49EB4" w:rsidR="005377B9" w:rsidRPr="009F305C" w:rsidRDefault="003D6B16" w:rsidP="009F305C">
            <w:r>
              <w:t>1.1.1, 1.4.1, 2.4.1, 3.9.2, 4.7.1, 5.5.2, 6.5.1, 7.1.2, 7.2.1, 11.5.2, 13.3.2, 14.1.1, 14.2.1, 15.1.2, 15.2.1, 16.1.2, 16.7.2, 17.9.1, 17.14.1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51581B7D" w14:textId="77777777" w:rsidR="003D6B16" w:rsidRPr="005D6849" w:rsidRDefault="003D6B16" w:rsidP="003D6B16">
            <w:pPr>
              <w:pStyle w:val="MGTHeader"/>
            </w:pPr>
            <w:r w:rsidRPr="005D6849">
              <w:rPr>
                <w:rStyle w:val="acopre"/>
              </w:rPr>
              <w:t xml:space="preserve">Intergovernmental </w:t>
            </w:r>
            <w:r w:rsidRPr="005D6849">
              <w:t>Hydrological Programme of United Nations Educational, Scientific and Cultural Organization (UNESCO-IHP)</w:t>
            </w:r>
          </w:p>
          <w:p w14:paraId="3C235DA8" w14:textId="77777777" w:rsidR="003D6B16" w:rsidRPr="0004235B" w:rsidRDefault="003D6B16" w:rsidP="003D6B16">
            <w:pPr>
              <w:pStyle w:val="MGTHeader"/>
            </w:pPr>
            <w:r w:rsidRPr="005D6849">
              <w:t>United Nations Economic Commission for Europe (UNECE)</w:t>
            </w:r>
          </w:p>
          <w:p w14:paraId="716FA1AC" w14:textId="77777777" w:rsidR="005377B9" w:rsidRPr="003D6B16"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B8F8D07" w:rsidR="00DD54CE" w:rsidRPr="009F305C" w:rsidRDefault="00DD54CE" w:rsidP="00DD54CE">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A9AC16C" w:rsidR="003E7389" w:rsidRPr="009F305C" w:rsidRDefault="007E4E2E" w:rsidP="009F305C">
            <w:r>
              <w:t xml:space="preserve">Senior Manager </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B2F2F33" w:rsidR="003E7389" w:rsidRPr="009F305C" w:rsidRDefault="007E4E2E" w:rsidP="009F305C">
            <w:r>
              <w:t xml:space="preserve">Food Monitoring, Nutrition and Environment Statistics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2671683" w:rsidR="003E7389" w:rsidRPr="009F305C" w:rsidRDefault="007E4E2E" w:rsidP="009F305C">
            <w:r>
              <w:t xml:space="preserve">Compilation of Environment and Natural resources statistics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A9AA12D" w:rsidR="003E7389" w:rsidRPr="009F305C" w:rsidRDefault="007E4E2E" w:rsidP="009F305C">
            <w:r>
              <w:rPr>
                <w:rStyle w:val="Strong"/>
                <w:rFonts w:ascii="Arial" w:hAnsi="Arial" w:cs="Arial"/>
                <w:i/>
                <w:iCs/>
                <w:color w:val="0A0A0A"/>
                <w:sz w:val="21"/>
                <w:szCs w:val="21"/>
                <w:shd w:val="clear" w:color="auto" w:fill="FFFFFF"/>
              </w:rPr>
              <w:t>+</w:t>
            </w:r>
            <w:r w:rsidRPr="00DD45CA">
              <w:t>254-735-004-401, +254-202-911-000, +254-202-911-001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936B7FD" w:rsidR="003E7389" w:rsidRPr="009F305C" w:rsidRDefault="007E4E2E" w:rsidP="009F305C">
            <w:r w:rsidRPr="00DD45CA">
              <w:t>P.O. Box 30266–00100 GPO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6B92D6C" w:rsidR="003E7389" w:rsidRPr="009F305C" w:rsidRDefault="007E4E2E" w:rsidP="009F305C">
            <w:r>
              <w:t>dps@knbs.or.ke</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C94E76">
            <w:pPr>
              <w:jc w:val="both"/>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D69A23B"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r w:rsidRPr="00B103D4">
              <w:rPr>
                <w:rFonts w:eastAsia="Times New Roman" w:cstheme="minorHAnsi"/>
                <w:b/>
                <w:bCs/>
                <w:color w:val="4A4A4A"/>
                <w:sz w:val="21"/>
                <w:szCs w:val="21"/>
                <w:lang w:eastAsia="en-GB"/>
              </w:rPr>
              <w:t>Definition:</w:t>
            </w:r>
          </w:p>
          <w:p w14:paraId="3881A4C0" w14:textId="77777777" w:rsidR="003D6B16" w:rsidRDefault="003D6B16" w:rsidP="00C94E76">
            <w:pPr>
              <w:shd w:val="clear" w:color="auto" w:fill="FFFFFF"/>
              <w:spacing w:after="0"/>
              <w:contextualSpacing/>
              <w:jc w:val="both"/>
              <w:rPr>
                <w:rFonts w:eastAsia="Times New Roman" w:cstheme="minorHAnsi"/>
                <w:color w:val="4A4A4A"/>
                <w:sz w:val="21"/>
                <w:szCs w:val="21"/>
                <w:lang w:eastAsia="en-GB"/>
              </w:rPr>
            </w:pPr>
            <w:r w:rsidRPr="006A17A3">
              <w:rPr>
                <w:rFonts w:eastAsia="Times New Roman" w:cstheme="minorHAnsi"/>
                <w:color w:val="4A4A4A"/>
                <w:sz w:val="21"/>
                <w:szCs w:val="21"/>
                <w:lang w:eastAsia="en-GB"/>
              </w:rPr>
              <w:t>The indicator monitors the “transboundary basin” area with</w:t>
            </w:r>
            <w:r>
              <w:rPr>
                <w:rFonts w:eastAsia="Times New Roman" w:cstheme="minorHAnsi"/>
                <w:color w:val="4A4A4A"/>
                <w:sz w:val="21"/>
                <w:szCs w:val="21"/>
                <w:lang w:eastAsia="en-GB"/>
              </w:rPr>
              <w:t>in a country covered by</w:t>
            </w:r>
            <w:r w:rsidRPr="006A17A3">
              <w:rPr>
                <w:rFonts w:eastAsia="Times New Roman" w:cstheme="minorHAnsi"/>
                <w:color w:val="4A4A4A"/>
                <w:sz w:val="21"/>
                <w:szCs w:val="21"/>
                <w:lang w:eastAsia="en-GB"/>
              </w:rPr>
              <w:t xml:space="preserve"> an “operational” “arrangement for water cooperation”.</w:t>
            </w:r>
            <w:r>
              <w:rPr>
                <w:rFonts w:eastAsia="Times New Roman" w:cstheme="minorHAnsi"/>
                <w:color w:val="4A4A4A"/>
                <w:sz w:val="21"/>
                <w:szCs w:val="21"/>
                <w:lang w:eastAsia="en-GB"/>
              </w:rPr>
              <w:t xml:space="preserve"> </w:t>
            </w:r>
          </w:p>
          <w:p w14:paraId="609A2221"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p>
          <w:p w14:paraId="141C37AA"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r w:rsidRPr="008B158D">
              <w:rPr>
                <w:rFonts w:eastAsia="Times New Roman" w:cstheme="minorHAnsi"/>
                <w:color w:val="4A4A4A"/>
                <w:sz w:val="21"/>
                <w:szCs w:val="21"/>
                <w:lang w:eastAsia="en-GB"/>
              </w:rPr>
              <w:t xml:space="preserve">A </w:t>
            </w:r>
            <w:r>
              <w:rPr>
                <w:rFonts w:eastAsia="Times New Roman" w:cstheme="minorHAnsi"/>
                <w:color w:val="4A4A4A"/>
                <w:sz w:val="21"/>
                <w:szCs w:val="21"/>
                <w:lang w:eastAsia="en-GB"/>
              </w:rPr>
              <w:t>“</w:t>
            </w:r>
            <w:r w:rsidRPr="008B158D">
              <w:rPr>
                <w:rFonts w:eastAsia="Times New Roman" w:cstheme="minorHAnsi"/>
                <w:color w:val="4A4A4A"/>
                <w:sz w:val="21"/>
                <w:szCs w:val="21"/>
                <w:lang w:eastAsia="en-GB"/>
              </w:rPr>
              <w:t>transboundary basin</w:t>
            </w:r>
            <w:r>
              <w:rPr>
                <w:rFonts w:eastAsia="Times New Roman" w:cstheme="minorHAnsi"/>
                <w:color w:val="4A4A4A"/>
                <w:sz w:val="21"/>
                <w:szCs w:val="21"/>
                <w:lang w:eastAsia="en-GB"/>
              </w:rPr>
              <w:t>”</w:t>
            </w:r>
            <w:r w:rsidRPr="008B158D">
              <w:rPr>
                <w:rFonts w:eastAsia="Times New Roman" w:cstheme="minorHAnsi"/>
                <w:color w:val="4A4A4A"/>
                <w:sz w:val="21"/>
                <w:szCs w:val="21"/>
                <w:lang w:eastAsia="en-GB"/>
              </w:rPr>
              <w:t xml:space="preserve"> refers to a river or lake basin, or an aquifer system that mark</w:t>
            </w:r>
            <w:r>
              <w:rPr>
                <w:rFonts w:eastAsia="Times New Roman" w:cstheme="minorHAnsi"/>
                <w:color w:val="4A4A4A"/>
                <w:sz w:val="21"/>
                <w:szCs w:val="21"/>
                <w:lang w:eastAsia="en-GB"/>
              </w:rPr>
              <w:t>s</w:t>
            </w:r>
            <w:r w:rsidRPr="008B158D">
              <w:rPr>
                <w:rFonts w:eastAsia="Times New Roman" w:cstheme="minorHAnsi"/>
                <w:color w:val="4A4A4A"/>
                <w:sz w:val="21"/>
                <w:szCs w:val="21"/>
                <w:lang w:eastAsia="en-GB"/>
              </w:rPr>
              <w:t>, cross</w:t>
            </w:r>
            <w:r>
              <w:rPr>
                <w:rFonts w:eastAsia="Times New Roman" w:cstheme="minorHAnsi"/>
                <w:color w:val="4A4A4A"/>
                <w:sz w:val="21"/>
                <w:szCs w:val="21"/>
                <w:lang w:eastAsia="en-GB"/>
              </w:rPr>
              <w:t>es</w:t>
            </w:r>
            <w:r w:rsidRPr="008B158D">
              <w:rPr>
                <w:rFonts w:eastAsia="Times New Roman" w:cstheme="minorHAnsi"/>
                <w:color w:val="4A4A4A"/>
                <w:sz w:val="21"/>
                <w:szCs w:val="21"/>
                <w:lang w:eastAsia="en-GB"/>
              </w:rPr>
              <w:t xml:space="preserve"> or is located on</w:t>
            </w:r>
            <w:r>
              <w:rPr>
                <w:rFonts w:eastAsia="Times New Roman" w:cstheme="minorHAnsi"/>
                <w:color w:val="4A4A4A"/>
                <w:sz w:val="21"/>
                <w:szCs w:val="21"/>
                <w:lang w:eastAsia="en-GB"/>
              </w:rPr>
              <w:t xml:space="preserve"> </w:t>
            </w:r>
            <w:r w:rsidRPr="008B158D">
              <w:rPr>
                <w:rFonts w:eastAsia="Times New Roman" w:cstheme="minorHAnsi"/>
                <w:color w:val="4A4A4A"/>
                <w:sz w:val="21"/>
                <w:szCs w:val="21"/>
                <w:lang w:eastAsia="en-GB"/>
              </w:rPr>
              <w:t>boundaries between two or more states. A basin comprises the entire catchment area of a surface water</w:t>
            </w:r>
            <w:r>
              <w:rPr>
                <w:rFonts w:eastAsia="Times New Roman" w:cstheme="minorHAnsi"/>
                <w:color w:val="4A4A4A"/>
                <w:sz w:val="21"/>
                <w:szCs w:val="21"/>
                <w:lang w:eastAsia="en-GB"/>
              </w:rPr>
              <w:t xml:space="preserve"> </w:t>
            </w:r>
            <w:r w:rsidRPr="008B158D">
              <w:rPr>
                <w:rFonts w:eastAsia="Times New Roman" w:cstheme="minorHAnsi"/>
                <w:color w:val="4A4A4A"/>
                <w:sz w:val="21"/>
                <w:szCs w:val="21"/>
                <w:lang w:eastAsia="en-GB"/>
              </w:rPr>
              <w:t>body (river or lake), or for groundwater, the area of the aquifer, i.e. the entire permeable water-bearing</w:t>
            </w:r>
            <w:r>
              <w:rPr>
                <w:rFonts w:eastAsia="Times New Roman" w:cstheme="minorHAnsi"/>
                <w:color w:val="4A4A4A"/>
                <w:sz w:val="21"/>
                <w:szCs w:val="21"/>
                <w:lang w:eastAsia="en-GB"/>
              </w:rPr>
              <w:t xml:space="preserve"> </w:t>
            </w:r>
            <w:r w:rsidRPr="008B158D">
              <w:rPr>
                <w:rFonts w:eastAsia="Times New Roman" w:cstheme="minorHAnsi"/>
                <w:color w:val="4A4A4A"/>
                <w:sz w:val="21"/>
                <w:szCs w:val="21"/>
                <w:lang w:eastAsia="en-GB"/>
              </w:rPr>
              <w:t>geological formation. For the purpose of calculating the value of SDG indicator 6.5.2 the transboundary</w:t>
            </w:r>
            <w:r>
              <w:rPr>
                <w:rFonts w:eastAsia="Times New Roman" w:cstheme="minorHAnsi"/>
                <w:color w:val="4A4A4A"/>
                <w:sz w:val="21"/>
                <w:szCs w:val="21"/>
                <w:lang w:eastAsia="en-GB"/>
              </w:rPr>
              <w:t xml:space="preserve"> </w:t>
            </w:r>
            <w:r w:rsidRPr="008B158D">
              <w:rPr>
                <w:rFonts w:eastAsia="Times New Roman" w:cstheme="minorHAnsi"/>
                <w:color w:val="4A4A4A"/>
                <w:sz w:val="21"/>
                <w:szCs w:val="21"/>
                <w:lang w:eastAsia="en-GB"/>
              </w:rPr>
              <w:t>basin area is the extent of the catchment area (river or lake</w:t>
            </w:r>
            <w:r>
              <w:rPr>
                <w:rFonts w:eastAsia="Times New Roman" w:cstheme="minorHAnsi"/>
                <w:color w:val="4A4A4A"/>
                <w:sz w:val="21"/>
                <w:szCs w:val="21"/>
                <w:lang w:eastAsia="en-GB"/>
              </w:rPr>
              <w:t xml:space="preserve"> basin</w:t>
            </w:r>
            <w:r w:rsidRPr="008B158D">
              <w:rPr>
                <w:rFonts w:eastAsia="Times New Roman" w:cstheme="minorHAnsi"/>
                <w:color w:val="4A4A4A"/>
                <w:sz w:val="21"/>
                <w:szCs w:val="21"/>
                <w:lang w:eastAsia="en-GB"/>
              </w:rPr>
              <w:t xml:space="preserve">); or the extent of the aquifer. </w:t>
            </w:r>
          </w:p>
          <w:p w14:paraId="199028E9"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p>
          <w:p w14:paraId="4A7E364E"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r>
              <w:rPr>
                <w:rFonts w:eastAsia="Times New Roman" w:cstheme="minorHAnsi"/>
                <w:color w:val="4A4A4A"/>
                <w:sz w:val="21"/>
                <w:szCs w:val="21"/>
                <w:lang w:eastAsia="en-GB"/>
              </w:rPr>
              <w:t>“</w:t>
            </w:r>
            <w:r w:rsidRPr="00B103D4">
              <w:rPr>
                <w:rFonts w:eastAsia="Times New Roman" w:cstheme="minorHAnsi"/>
                <w:color w:val="4A4A4A"/>
                <w:sz w:val="21"/>
                <w:szCs w:val="21"/>
                <w:lang w:eastAsia="en-GB"/>
              </w:rPr>
              <w:t>Arrangement for water cooperation</w:t>
            </w:r>
            <w:r>
              <w:rPr>
                <w:rFonts w:eastAsia="Times New Roman" w:cstheme="minorHAnsi"/>
                <w:color w:val="4A4A4A"/>
                <w:sz w:val="21"/>
                <w:szCs w:val="21"/>
                <w:lang w:eastAsia="en-GB"/>
              </w:rPr>
              <w:t>” refers to</w:t>
            </w:r>
            <w:r w:rsidRPr="00B103D4">
              <w:rPr>
                <w:rFonts w:eastAsia="Times New Roman" w:cstheme="minorHAnsi"/>
                <w:color w:val="4A4A4A"/>
                <w:sz w:val="21"/>
                <w:szCs w:val="21"/>
                <w:lang w:eastAsia="en-GB"/>
              </w:rPr>
              <w:t xml:space="preserve"> a bilateral or multilateral treaty, convention, agreement or other formal arrangement, such as memorandum of understanding between countries</w:t>
            </w:r>
            <w:r>
              <w:rPr>
                <w:rFonts w:eastAsia="Times New Roman" w:cstheme="minorHAnsi"/>
                <w:color w:val="4A4A4A"/>
                <w:sz w:val="21"/>
                <w:szCs w:val="21"/>
                <w:lang w:eastAsia="en-GB"/>
              </w:rPr>
              <w:t xml:space="preserve"> sharing transboundary basins</w:t>
            </w:r>
            <w:r w:rsidRPr="00B103D4">
              <w:rPr>
                <w:rFonts w:eastAsia="Times New Roman" w:cstheme="minorHAnsi"/>
                <w:color w:val="4A4A4A"/>
                <w:sz w:val="21"/>
                <w:szCs w:val="21"/>
                <w:lang w:eastAsia="en-GB"/>
              </w:rPr>
              <w:t xml:space="preserve"> that provides a framework for cooperation on transboundary water management. Agreements or other kind</w:t>
            </w:r>
            <w:r>
              <w:rPr>
                <w:rFonts w:eastAsia="Times New Roman" w:cstheme="minorHAnsi"/>
                <w:color w:val="4A4A4A"/>
                <w:sz w:val="21"/>
                <w:szCs w:val="21"/>
                <w:lang w:eastAsia="en-GB"/>
              </w:rPr>
              <w:t>s</w:t>
            </w:r>
            <w:r w:rsidRPr="00B103D4">
              <w:rPr>
                <w:rFonts w:eastAsia="Times New Roman" w:cstheme="minorHAnsi"/>
                <w:color w:val="4A4A4A"/>
                <w:sz w:val="21"/>
                <w:szCs w:val="21"/>
                <w:lang w:eastAsia="en-GB"/>
              </w:rPr>
              <w:t xml:space="preserve"> of formal arrangements may be interstate, intergovernmental, interministerial, interagency or between regional authorities. </w:t>
            </w:r>
          </w:p>
          <w:p w14:paraId="66F628FF"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p>
          <w:p w14:paraId="0C8FB69A"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r>
              <w:rPr>
                <w:rFonts w:eastAsia="Times New Roman" w:cstheme="minorHAnsi"/>
                <w:color w:val="4A4A4A"/>
                <w:sz w:val="21"/>
                <w:szCs w:val="21"/>
                <w:lang w:eastAsia="en-GB"/>
              </w:rPr>
              <w:t>“</w:t>
            </w:r>
            <w:r w:rsidRPr="00B103D4">
              <w:rPr>
                <w:rFonts w:eastAsia="Times New Roman" w:cstheme="minorHAnsi"/>
                <w:color w:val="4A4A4A"/>
                <w:sz w:val="21"/>
                <w:szCs w:val="21"/>
                <w:lang w:eastAsia="en-GB"/>
              </w:rPr>
              <w:t>Operational</w:t>
            </w:r>
            <w:r>
              <w:rPr>
                <w:rFonts w:eastAsia="Times New Roman" w:cstheme="minorHAnsi"/>
                <w:color w:val="4A4A4A"/>
                <w:sz w:val="21"/>
                <w:szCs w:val="21"/>
                <w:lang w:eastAsia="en-GB"/>
              </w:rPr>
              <w:t>” means that</w:t>
            </w:r>
            <w:r w:rsidRPr="00B103D4">
              <w:rPr>
                <w:rFonts w:eastAsia="Times New Roman" w:cstheme="minorHAnsi"/>
                <w:color w:val="4A4A4A"/>
                <w:sz w:val="21"/>
                <w:szCs w:val="21"/>
                <w:lang w:eastAsia="en-GB"/>
              </w:rPr>
              <w:t xml:space="preserve"> an agreement for cooperation between the countries </w:t>
            </w:r>
            <w:r>
              <w:rPr>
                <w:rFonts w:eastAsia="Times New Roman" w:cstheme="minorHAnsi"/>
                <w:color w:val="4A4A4A"/>
                <w:sz w:val="21"/>
                <w:szCs w:val="21"/>
                <w:lang w:eastAsia="en-GB"/>
              </w:rPr>
              <w:t xml:space="preserve">sharing transboundary basins meets </w:t>
            </w:r>
            <w:r w:rsidRPr="00B103D4">
              <w:rPr>
                <w:rFonts w:eastAsia="Times New Roman" w:cstheme="minorHAnsi"/>
                <w:color w:val="4A4A4A"/>
                <w:sz w:val="21"/>
                <w:szCs w:val="21"/>
                <w:lang w:eastAsia="en-GB"/>
              </w:rPr>
              <w:t xml:space="preserve">all the following </w:t>
            </w:r>
            <w:r>
              <w:rPr>
                <w:rFonts w:eastAsia="Times New Roman" w:cstheme="minorHAnsi"/>
                <w:color w:val="4A4A4A"/>
                <w:sz w:val="21"/>
                <w:szCs w:val="21"/>
                <w:lang w:eastAsia="en-GB"/>
              </w:rPr>
              <w:t xml:space="preserve">four </w:t>
            </w:r>
            <w:r w:rsidRPr="00B103D4">
              <w:rPr>
                <w:rFonts w:eastAsia="Times New Roman" w:cstheme="minorHAnsi"/>
                <w:color w:val="4A4A4A"/>
                <w:sz w:val="21"/>
                <w:szCs w:val="21"/>
                <w:lang w:eastAsia="en-GB"/>
              </w:rPr>
              <w:t xml:space="preserve">criteria: </w:t>
            </w:r>
          </w:p>
          <w:p w14:paraId="005CDE02"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p>
          <w:p w14:paraId="05BD9EB7"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r w:rsidRPr="00B103D4">
              <w:rPr>
                <w:rFonts w:eastAsia="Times New Roman" w:cstheme="minorHAnsi"/>
                <w:color w:val="4A4A4A"/>
                <w:sz w:val="21"/>
                <w:szCs w:val="21"/>
                <w:lang w:eastAsia="en-GB"/>
              </w:rPr>
              <w:t>- There is a joint body</w:t>
            </w:r>
            <w:r>
              <w:rPr>
                <w:rFonts w:eastAsia="Times New Roman" w:cstheme="minorHAnsi"/>
                <w:color w:val="4A4A4A"/>
                <w:sz w:val="21"/>
                <w:szCs w:val="21"/>
                <w:lang w:eastAsia="en-GB"/>
              </w:rPr>
              <w:t xml:space="preserve"> or </w:t>
            </w:r>
            <w:r w:rsidRPr="00B103D4">
              <w:rPr>
                <w:rFonts w:eastAsia="Times New Roman" w:cstheme="minorHAnsi"/>
                <w:color w:val="4A4A4A"/>
                <w:sz w:val="21"/>
                <w:szCs w:val="21"/>
                <w:lang w:eastAsia="en-GB"/>
              </w:rPr>
              <w:t>mechanism (e.g. a river basin organization) for transboundary cooperation</w:t>
            </w:r>
            <w:r>
              <w:rPr>
                <w:rFonts w:eastAsia="Times New Roman" w:cstheme="minorHAnsi"/>
                <w:color w:val="4A4A4A"/>
                <w:sz w:val="21"/>
                <w:szCs w:val="21"/>
                <w:lang w:eastAsia="en-GB"/>
              </w:rPr>
              <w:t>;</w:t>
            </w:r>
          </w:p>
          <w:p w14:paraId="567E777F"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r w:rsidRPr="00B103D4">
              <w:rPr>
                <w:rFonts w:eastAsia="Times New Roman" w:cstheme="minorHAnsi"/>
                <w:color w:val="4A4A4A"/>
                <w:sz w:val="21"/>
                <w:szCs w:val="21"/>
                <w:lang w:eastAsia="en-GB"/>
              </w:rPr>
              <w:t>- There are regular</w:t>
            </w:r>
            <w:r>
              <w:rPr>
                <w:rFonts w:eastAsia="Times New Roman" w:cstheme="minorHAnsi"/>
                <w:color w:val="4A4A4A"/>
                <w:sz w:val="21"/>
                <w:szCs w:val="21"/>
                <w:lang w:eastAsia="en-GB"/>
              </w:rPr>
              <w:t>, i.e., at least annual,</w:t>
            </w:r>
            <w:r w:rsidRPr="00B103D4">
              <w:rPr>
                <w:rFonts w:eastAsia="Times New Roman" w:cstheme="minorHAnsi"/>
                <w:color w:val="4A4A4A"/>
                <w:sz w:val="21"/>
                <w:szCs w:val="21"/>
                <w:lang w:eastAsia="en-GB"/>
              </w:rPr>
              <w:t xml:space="preserve"> formal communications between riparian countries in form of meetings </w:t>
            </w:r>
            <w:r w:rsidRPr="000519D9">
              <w:rPr>
                <w:rFonts w:eastAsia="Times New Roman" w:cstheme="minorHAnsi"/>
                <w:color w:val="4A4A4A"/>
                <w:sz w:val="21"/>
                <w:szCs w:val="21"/>
                <w:lang w:eastAsia="en-GB"/>
              </w:rPr>
              <w:t>(either at the political and/or technical level);</w:t>
            </w:r>
          </w:p>
          <w:p w14:paraId="4CBB2102" w14:textId="77777777" w:rsidR="003D6B16" w:rsidRPr="00B103D4" w:rsidRDefault="003D6B16" w:rsidP="00C94E76">
            <w:pPr>
              <w:shd w:val="clear" w:color="auto" w:fill="FFFFFF"/>
              <w:spacing w:after="0"/>
              <w:contextualSpacing/>
              <w:jc w:val="both"/>
              <w:rPr>
                <w:rFonts w:eastAsia="Times New Roman" w:cstheme="minorHAnsi"/>
                <w:color w:val="4A4A4A"/>
                <w:sz w:val="21"/>
                <w:szCs w:val="21"/>
                <w:lang w:eastAsia="en-GB"/>
              </w:rPr>
            </w:pPr>
            <w:r w:rsidRPr="00B103D4">
              <w:rPr>
                <w:rFonts w:eastAsia="Times New Roman" w:cstheme="minorHAnsi"/>
                <w:color w:val="4A4A4A"/>
                <w:sz w:val="21"/>
                <w:szCs w:val="21"/>
                <w:lang w:eastAsia="en-GB"/>
              </w:rPr>
              <w:t>- There is a joint or coordinated water management plan(s), or joint objectives have been set</w:t>
            </w:r>
            <w:r>
              <w:rPr>
                <w:rFonts w:eastAsia="Times New Roman" w:cstheme="minorHAnsi"/>
                <w:color w:val="4A4A4A"/>
                <w:sz w:val="21"/>
                <w:szCs w:val="21"/>
                <w:lang w:eastAsia="en-GB"/>
              </w:rPr>
              <w:t>;</w:t>
            </w:r>
          </w:p>
          <w:p w14:paraId="41EE2391" w14:textId="77777777" w:rsidR="003D6B16" w:rsidRDefault="003D6B16" w:rsidP="00C94E76">
            <w:pPr>
              <w:shd w:val="clear" w:color="auto" w:fill="FFFFFF"/>
              <w:spacing w:after="0"/>
              <w:contextualSpacing/>
              <w:jc w:val="both"/>
              <w:rPr>
                <w:rFonts w:eastAsia="Times New Roman" w:cstheme="minorHAnsi"/>
                <w:color w:val="4A4A4A"/>
                <w:sz w:val="21"/>
                <w:szCs w:val="21"/>
                <w:lang w:eastAsia="en-GB"/>
              </w:rPr>
            </w:pPr>
            <w:r w:rsidRPr="00B103D4">
              <w:rPr>
                <w:rFonts w:eastAsia="Times New Roman" w:cstheme="minorHAnsi"/>
                <w:color w:val="4A4A4A"/>
                <w:sz w:val="21"/>
                <w:szCs w:val="21"/>
                <w:lang w:eastAsia="en-GB"/>
              </w:rPr>
              <w:t>- There is a regular</w:t>
            </w:r>
            <w:r>
              <w:rPr>
                <w:rFonts w:eastAsia="Times New Roman" w:cstheme="minorHAnsi"/>
                <w:color w:val="4A4A4A"/>
                <w:sz w:val="21"/>
                <w:szCs w:val="21"/>
                <w:lang w:eastAsia="en-GB"/>
              </w:rPr>
              <w:t>, i.e., at least annual,</w:t>
            </w:r>
            <w:r w:rsidRPr="00B103D4">
              <w:rPr>
                <w:rFonts w:eastAsia="Times New Roman" w:cstheme="minorHAnsi"/>
                <w:color w:val="4A4A4A"/>
                <w:sz w:val="21"/>
                <w:szCs w:val="21"/>
                <w:lang w:eastAsia="en-GB"/>
              </w:rPr>
              <w:t xml:space="preserve"> exchange of data and information.</w:t>
            </w:r>
          </w:p>
          <w:p w14:paraId="67D74358" w14:textId="77777777" w:rsidR="003D6B16" w:rsidRPr="005A13B5" w:rsidRDefault="003D6B16" w:rsidP="00C94E76">
            <w:pPr>
              <w:shd w:val="clear" w:color="auto" w:fill="FFFFFF"/>
              <w:spacing w:after="0"/>
              <w:contextualSpacing/>
              <w:jc w:val="both"/>
              <w:rPr>
                <w:rFonts w:eastAsia="Times New Roman" w:cstheme="minorHAnsi"/>
                <w:color w:val="4A4A4A"/>
                <w:sz w:val="21"/>
                <w:szCs w:val="21"/>
                <w:lang w:eastAsia="en-GB"/>
              </w:rPr>
            </w:pPr>
          </w:p>
          <w:p w14:paraId="483F86B9" w14:textId="77777777" w:rsidR="003D6B16" w:rsidRPr="00B103D4" w:rsidRDefault="003D6B16" w:rsidP="00C94E76">
            <w:pPr>
              <w:shd w:val="clear" w:color="auto" w:fill="FFFFFF"/>
              <w:spacing w:after="0"/>
              <w:contextualSpacing/>
              <w:jc w:val="both"/>
              <w:rPr>
                <w:rFonts w:eastAsia="Times New Roman" w:cstheme="minorHAnsi"/>
                <w:b/>
                <w:bCs/>
                <w:color w:val="4A4A4A"/>
                <w:sz w:val="21"/>
                <w:szCs w:val="21"/>
                <w:lang w:eastAsia="en-GB"/>
              </w:rPr>
            </w:pPr>
            <w:r w:rsidRPr="00B103D4">
              <w:rPr>
                <w:rFonts w:eastAsia="Times New Roman" w:cstheme="minorHAnsi"/>
                <w:b/>
                <w:bCs/>
                <w:color w:val="4A4A4A"/>
                <w:sz w:val="21"/>
                <w:szCs w:val="21"/>
                <w:lang w:eastAsia="en-GB"/>
              </w:rPr>
              <w:t>Concepts:</w:t>
            </w:r>
          </w:p>
          <w:p w14:paraId="4820356F" w14:textId="77777777" w:rsidR="003D6B16" w:rsidRDefault="003D6B16" w:rsidP="00C94E76">
            <w:pPr>
              <w:pStyle w:val="MText"/>
              <w:jc w:val="both"/>
              <w:rPr>
                <w:rFonts w:cstheme="minorHAnsi"/>
              </w:rPr>
            </w:pPr>
            <w:r w:rsidRPr="00B103D4">
              <w:rPr>
                <w:rFonts w:cstheme="minorHAnsi"/>
              </w:rPr>
              <w:t xml:space="preserve">The monitoring has as </w:t>
            </w:r>
            <w:r>
              <w:rPr>
                <w:rFonts w:cstheme="minorHAnsi"/>
              </w:rPr>
              <w:t xml:space="preserve">its </w:t>
            </w:r>
            <w:r w:rsidRPr="00B103D4">
              <w:rPr>
                <w:rFonts w:cstheme="minorHAnsi"/>
              </w:rPr>
              <w:t xml:space="preserve">basis the spatial coverage of transboundary basins shared by each country, and focuses on monitoring whether these are covered by cooperation arrangements that are </w:t>
            </w:r>
            <w:r>
              <w:rPr>
                <w:rFonts w:cstheme="minorHAnsi"/>
              </w:rPr>
              <w:t>“</w:t>
            </w:r>
            <w:r w:rsidRPr="00B103D4">
              <w:rPr>
                <w:rFonts w:cstheme="minorHAnsi"/>
              </w:rPr>
              <w:t>operational</w:t>
            </w:r>
            <w:r>
              <w:rPr>
                <w:rFonts w:cstheme="minorHAnsi"/>
              </w:rPr>
              <w:t>”</w:t>
            </w:r>
            <w:r w:rsidRPr="00B103D4">
              <w:rPr>
                <w:rFonts w:cstheme="minorHAnsi"/>
              </w:rPr>
              <w:t xml:space="preserve">. The criteria to be met for the cooperation on a specific basin </w:t>
            </w:r>
            <w:r>
              <w:rPr>
                <w:rFonts w:cstheme="minorHAnsi"/>
              </w:rPr>
              <w:t>to be</w:t>
            </w:r>
            <w:r w:rsidRPr="00B103D4">
              <w:rPr>
                <w:rFonts w:cstheme="minorHAnsi"/>
              </w:rPr>
              <w:t xml:space="preserve"> considered “operational”</w:t>
            </w:r>
            <w:r>
              <w:rPr>
                <w:rFonts w:cstheme="minorHAnsi"/>
              </w:rPr>
              <w:t xml:space="preserve"> </w:t>
            </w:r>
            <w:r w:rsidRPr="00B103D4">
              <w:rPr>
                <w:rFonts w:cstheme="minorHAnsi"/>
              </w:rPr>
              <w:t>seek to capture whether the arrangement(s) provide</w:t>
            </w:r>
            <w:r>
              <w:rPr>
                <w:rFonts w:cstheme="minorHAnsi"/>
              </w:rPr>
              <w:t>s</w:t>
            </w:r>
            <w:r w:rsidRPr="00B103D4">
              <w:rPr>
                <w:rFonts w:cstheme="minorHAnsi"/>
              </w:rPr>
              <w:t xml:space="preserve"> </w:t>
            </w:r>
            <w:r>
              <w:rPr>
                <w:rFonts w:cstheme="minorHAnsi"/>
              </w:rPr>
              <w:t xml:space="preserve">the basic elements needed to allow that arrangement to implement </w:t>
            </w:r>
            <w:r w:rsidRPr="00B103D4">
              <w:rPr>
                <w:rFonts w:cstheme="minorHAnsi"/>
              </w:rPr>
              <w:t>cooperation in water management.</w:t>
            </w:r>
          </w:p>
          <w:p w14:paraId="6C84E827" w14:textId="77777777" w:rsidR="0015178E" w:rsidRPr="003D6B16" w:rsidRDefault="0015178E" w:rsidP="00C94E76">
            <w:pPr>
              <w:jc w:val="both"/>
              <w:rPr>
                <w:lang w:val="en-GB"/>
              </w:rPr>
            </w:pP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E373E41" w:rsidR="0015178E" w:rsidRPr="009F305C" w:rsidRDefault="003D6B16" w:rsidP="009F305C">
            <w:r>
              <w:t>Basin area, in km</w:t>
            </w:r>
            <w:r>
              <w:rPr>
                <w:vertAlign w:val="superscript"/>
              </w:rPr>
              <w:t>2</w:t>
            </w:r>
            <w:r>
              <w:t>, covered by operational arrangements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6FCDF6EB" w:rsidR="0015178E" w:rsidRPr="003D6B16" w:rsidRDefault="003D6B16" w:rsidP="003D6B16">
            <w:pPr>
              <w:pStyle w:val="MText"/>
              <w:rPr>
                <w:lang w:val="en-US"/>
              </w:rPr>
            </w:pPr>
            <w:r>
              <w:t>Not applicable</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DC9049E" w:rsidR="0035311B" w:rsidRPr="009F305C" w:rsidRDefault="00862B5C" w:rsidP="009F305C">
            <w:r>
              <w:t>Ministry of Water, irrigation and sanitation-SDG pilot report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8D3AD6C" w:rsidR="0035311B" w:rsidRPr="009F305C" w:rsidRDefault="00EF35E6" w:rsidP="00C94E76">
            <w:pPr>
              <w:jc w:val="both"/>
            </w:pPr>
            <w:r w:rsidRPr="00881FE7">
              <w:rPr>
                <w:sz w:val="24"/>
                <w:szCs w:val="24"/>
              </w:rPr>
              <w:t>A broad stakeholder engagement process was undertaken to help increase stakeholder participation and ownership of water management and decision-making processes, and make the findings more robust and useful for further discussions and planning. SDG 6.5.1 Focal Points are asked to fill in the Reporting Process Form in Annex C to increase transparency and stakeholder confidence in the results at all levels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E394DAA" w:rsidR="0035311B" w:rsidRPr="009F305C" w:rsidRDefault="00EF35E6" w:rsidP="009F305C">
            <w:r w:rsidRPr="00881FE7">
              <w:rPr>
                <w:sz w:val="24"/>
                <w:szCs w:val="24"/>
              </w:rPr>
              <w:t>Data is collected approximately every 3-4 years</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C1E14FA" w:rsidR="0035311B" w:rsidRPr="009F305C" w:rsidRDefault="00EF35E6" w:rsidP="009F305C">
            <w:r w:rsidRPr="00881FE7">
              <w:rPr>
                <w:sz w:val="24"/>
                <w:szCs w:val="24"/>
              </w:rPr>
              <w:t>Data is released approximately 3 months after the close of each data collection round</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FB8D4B" w:rsidR="0035311B" w:rsidRPr="009F305C" w:rsidRDefault="00EF35E6" w:rsidP="009F305C">
            <w:r w:rsidRPr="00881FE7">
              <w:rPr>
                <w:sz w:val="24"/>
                <w:szCs w:val="24"/>
              </w:rPr>
              <w:t>Ministry of Water Irrigation and Sanitation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1DE3CD4" w:rsidR="0035311B" w:rsidRPr="009F305C" w:rsidRDefault="00F10CBE" w:rsidP="009F305C">
            <w:r>
              <w:rPr>
                <w:sz w:val="24"/>
                <w:szCs w:val="24"/>
              </w:rPr>
              <w:t>Kenya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52E37795" w:rsidR="0035311B" w:rsidRPr="009F305C" w:rsidRDefault="00F10CBE" w:rsidP="009F305C">
            <w:r>
              <w:t xml:space="preserve">Kenya National Bureau of Statistics is mandated to </w:t>
            </w:r>
            <w:r w:rsidR="00C94E76">
              <w:t xml:space="preserve">collect, </w:t>
            </w:r>
            <w:r w:rsidR="00BF1039">
              <w:t>compile, analyze</w:t>
            </w:r>
            <w:r>
              <w:t>,</w:t>
            </w:r>
            <w:r w:rsidR="00BF1039">
              <w:t xml:space="preserve"> </w:t>
            </w:r>
            <w:r>
              <w:t>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4587CE1C" w:rsidR="007F2D9F" w:rsidRPr="009F305C" w:rsidRDefault="00F10CBE" w:rsidP="009F305C">
            <w:r>
              <w:t xml:space="preserve">The Kenya National Bureau of Statistics is ISO certified based on 9001:2015 Standard requirements. The processes of compilation, production, publication and dissemination of data, </w:t>
            </w:r>
            <w:r w:rsidR="00A05F21">
              <w:t>including quality</w:t>
            </w:r>
            <w:r>
              <w:t xml:space="preserve"> control, are carried out following the methodological framework and standards established by the KNBS,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58B11D8" w14:textId="77777777" w:rsidR="00F10CBE" w:rsidRDefault="00F10CBE" w:rsidP="00F10CBE">
            <w:pPr>
              <w:jc w:val="both"/>
            </w:pPr>
            <w:r>
              <w:t>The KNBS adheres to Kenya Statistical Quality Assurance Framework (</w:t>
            </w:r>
            <w:proofErr w:type="spellStart"/>
            <w:r>
              <w:t>KesQAF</w:t>
            </w:r>
            <w:proofErr w:type="spellEnd"/>
            <w:r>
              <w:t xml:space="preserve">) that underlines principles to be assured in managing the statistical production processes and output.  </w:t>
            </w:r>
          </w:p>
          <w:p w14:paraId="49CC4A3F" w14:textId="03386191" w:rsidR="007F2D9F" w:rsidRPr="009F305C" w:rsidRDefault="00F10CBE" w:rsidP="00F10CBE">
            <w:r>
              <w:t>Data consistency and quality checks are conducted through Technical Working Groups (TWGs) before publication and dissemination.</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447833C" w:rsidR="007F2D9F" w:rsidRPr="009F305C" w:rsidRDefault="00F10CBE" w:rsidP="009F305C">
            <w: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6E7FFB" w:rsidRDefault="006E7FFB" w:rsidP="006B0512">
      <w:pPr>
        <w:spacing w:after="0" w:line="240" w:lineRule="auto"/>
      </w:pPr>
      <w:r>
        <w:separator/>
      </w:r>
    </w:p>
  </w:endnote>
  <w:endnote w:type="continuationSeparator" w:id="0">
    <w:p w14:paraId="0652DDFD" w14:textId="77777777" w:rsidR="006E7FFB" w:rsidRDefault="006E7FF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2B3352C" w:rsidR="006E7FFB" w:rsidRDefault="006E7FFB">
        <w:pPr>
          <w:pStyle w:val="Footer"/>
          <w:jc w:val="right"/>
        </w:pPr>
        <w:r>
          <w:fldChar w:fldCharType="begin"/>
        </w:r>
        <w:r>
          <w:instrText xml:space="preserve"> PAGE   \* MERGEFORMAT </w:instrText>
        </w:r>
        <w:r>
          <w:fldChar w:fldCharType="separate"/>
        </w:r>
        <w:r w:rsidR="003B1A0C">
          <w:rPr>
            <w:noProof/>
          </w:rPr>
          <w:t>3</w:t>
        </w:r>
        <w:r>
          <w:rPr>
            <w:noProof/>
          </w:rPr>
          <w:fldChar w:fldCharType="end"/>
        </w:r>
      </w:p>
    </w:sdtContent>
  </w:sdt>
  <w:p w14:paraId="232AF3D4" w14:textId="77777777" w:rsidR="006E7FFB" w:rsidRDefault="006E7FFB">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6221DF4E" w:rsidR="006E7FFB" w:rsidRDefault="006E7FFB">
        <w:pPr>
          <w:pStyle w:val="Footer"/>
          <w:jc w:val="right"/>
        </w:pPr>
        <w:r>
          <w:fldChar w:fldCharType="begin"/>
        </w:r>
        <w:r>
          <w:instrText xml:space="preserve"> PAGE   \* MERGEFORMAT </w:instrText>
        </w:r>
        <w:r>
          <w:fldChar w:fldCharType="separate"/>
        </w:r>
        <w:r w:rsidR="003B1A0C">
          <w:rPr>
            <w:noProof/>
          </w:rPr>
          <w:t>1</w:t>
        </w:r>
        <w:r>
          <w:rPr>
            <w:noProof/>
          </w:rPr>
          <w:fldChar w:fldCharType="end"/>
        </w:r>
      </w:p>
    </w:sdtContent>
  </w:sdt>
  <w:p w14:paraId="52FF1B3E" w14:textId="77777777" w:rsidR="006E7FFB" w:rsidRDefault="006E7FFB">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6E7FFB" w:rsidRDefault="006E7FFB" w:rsidP="006B0512">
      <w:pPr>
        <w:spacing w:after="0" w:line="240" w:lineRule="auto"/>
      </w:pPr>
      <w:r>
        <w:separator/>
      </w:r>
    </w:p>
  </w:footnote>
  <w:footnote w:type="continuationSeparator" w:id="0">
    <w:p w14:paraId="21AE062F" w14:textId="77777777" w:rsidR="006E7FFB" w:rsidRDefault="006E7FFB" w:rsidP="006B0512">
      <w:pPr>
        <w:spacing w:after="0" w:line="240" w:lineRule="auto"/>
      </w:pPr>
      <w:r>
        <w:continuationSeparator/>
      </w:r>
    </w:p>
  </w:footnote>
  <w:footnote w:id="1">
    <w:p w14:paraId="463C7A6C" w14:textId="3926C0D8" w:rsidR="006E7FFB" w:rsidRPr="00B8102F" w:rsidRDefault="006E7FF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5734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5B71"/>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1E6"/>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1A0C"/>
    <w:rsid w:val="003B3C76"/>
    <w:rsid w:val="003D6B16"/>
    <w:rsid w:val="003E117E"/>
    <w:rsid w:val="003E7389"/>
    <w:rsid w:val="003E7F33"/>
    <w:rsid w:val="00406983"/>
    <w:rsid w:val="00413337"/>
    <w:rsid w:val="0041350B"/>
    <w:rsid w:val="00416A6D"/>
    <w:rsid w:val="00417B9F"/>
    <w:rsid w:val="00430958"/>
    <w:rsid w:val="00431B2F"/>
    <w:rsid w:val="00433D18"/>
    <w:rsid w:val="004576A5"/>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7FFB"/>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2E"/>
    <w:rsid w:val="007E4EE0"/>
    <w:rsid w:val="007F2D9F"/>
    <w:rsid w:val="007F5448"/>
    <w:rsid w:val="007F6520"/>
    <w:rsid w:val="00806D18"/>
    <w:rsid w:val="00810C60"/>
    <w:rsid w:val="00851DF8"/>
    <w:rsid w:val="008521A2"/>
    <w:rsid w:val="00862B5C"/>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3E87"/>
    <w:rsid w:val="00964097"/>
    <w:rsid w:val="00970B70"/>
    <w:rsid w:val="00970E8E"/>
    <w:rsid w:val="00971FA7"/>
    <w:rsid w:val="00972E38"/>
    <w:rsid w:val="009739C8"/>
    <w:rsid w:val="00975BAF"/>
    <w:rsid w:val="009A5BA4"/>
    <w:rsid w:val="009D6291"/>
    <w:rsid w:val="009D6F69"/>
    <w:rsid w:val="009E049D"/>
    <w:rsid w:val="009E5D6E"/>
    <w:rsid w:val="009F305C"/>
    <w:rsid w:val="00A05F21"/>
    <w:rsid w:val="00A167C6"/>
    <w:rsid w:val="00A200D3"/>
    <w:rsid w:val="00A242D8"/>
    <w:rsid w:val="00A3532A"/>
    <w:rsid w:val="00A35656"/>
    <w:rsid w:val="00A36E8B"/>
    <w:rsid w:val="00A4314D"/>
    <w:rsid w:val="00A5114C"/>
    <w:rsid w:val="00A64C04"/>
    <w:rsid w:val="00A67357"/>
    <w:rsid w:val="00A804A0"/>
    <w:rsid w:val="00A91915"/>
    <w:rsid w:val="00A92C73"/>
    <w:rsid w:val="00A950BD"/>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1039"/>
    <w:rsid w:val="00C057EA"/>
    <w:rsid w:val="00C05B22"/>
    <w:rsid w:val="00C141AF"/>
    <w:rsid w:val="00C175B6"/>
    <w:rsid w:val="00C210B4"/>
    <w:rsid w:val="00C22A2E"/>
    <w:rsid w:val="00C47725"/>
    <w:rsid w:val="00C605D4"/>
    <w:rsid w:val="00C94E76"/>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54CE"/>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35E6"/>
    <w:rsid w:val="00EF453F"/>
    <w:rsid w:val="00F00FDD"/>
    <w:rsid w:val="00F01713"/>
    <w:rsid w:val="00F02B1E"/>
    <w:rsid w:val="00F07040"/>
    <w:rsid w:val="00F10CBE"/>
    <w:rsid w:val="00F2310E"/>
    <w:rsid w:val="00F54570"/>
    <w:rsid w:val="00F75853"/>
    <w:rsid w:val="00F7784D"/>
    <w:rsid w:val="00F8144F"/>
    <w:rsid w:val="00F8462A"/>
    <w:rsid w:val="00F862A7"/>
    <w:rsid w:val="00F93763"/>
    <w:rsid w:val="00F939A2"/>
    <w:rsid w:val="00F96E8D"/>
    <w:rsid w:val="00FA20D9"/>
    <w:rsid w:val="00FA31C7"/>
    <w:rsid w:val="00FB03D0"/>
    <w:rsid w:val="00FB68E8"/>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734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3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3D6B16"/>
  </w:style>
  <w:style w:type="character" w:styleId="Strong">
    <w:name w:val="Strong"/>
    <w:basedOn w:val="DefaultParagraphFont"/>
    <w:uiPriority w:val="22"/>
    <w:qFormat/>
    <w:rsid w:val="007E4E2E"/>
    <w:rPr>
      <w:b/>
      <w:bCs/>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D4221"/>
    <w:rsid w:val="006153AA"/>
    <w:rsid w:val="0064052E"/>
    <w:rsid w:val="00760A1F"/>
    <w:rsid w:val="00A23AB7"/>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dcmitype/"/>
    <ds:schemaRef ds:uri="331bc5fa-37a0-4eaf-92e6-e8f500860589"/>
    <ds:schemaRef ds:uri="http://schemas.microsoft.com/office/infopath/2007/PartnerControls"/>
    <ds:schemaRef ds:uri="http://schemas.microsoft.com/office/2006/metadata/properties"/>
    <ds:schemaRef ds:uri="http://schemas.openxmlformats.org/package/2006/metadata/core-properties"/>
    <ds:schemaRef ds:uri="http://purl.org/dc/elements/1.1/"/>
    <ds:schemaRef ds:uri="http://schemas.microsoft.com/office/2006/documentManagement/types"/>
    <ds:schemaRef ds:uri="http://purl.org/dc/terms/"/>
    <ds:schemaRef ds:uri="efb7f1d3-2f00-4f20-b7f7-b4cd1648c34e"/>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A0C1C451-114E-4F21-A3D4-FF1EFBA39C8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1057</TotalTime>
  <Pages>12</Pages>
  <Words>216085</Words>
  <Characters>1231689</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1444885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ok</cp:lastModifiedBy>
  <cp:revision>18</cp:revision>
  <cp:lastPrinted>2020-04-16T14:23:00Z</cp:lastPrinted>
  <dcterms:created xsi:type="dcterms:W3CDTF">2023-12-16T06:18:00Z</dcterms:created>
  <dcterms:modified xsi:type="dcterms:W3CDTF">2024-05-07T15:56:00Z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