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" w:hAnsi="Helvetica" w:cs="Helvetica"/>
          <w:sz w:val="58"/>
          <w:sz-cs w:val="58"/>
          <w:b/>
          <w:spacing w:val="0"/>
          <w:color w:val="12253E"/>
        </w:rPr>
        <w:t xml:space="preserve">Pilot Success Criteria &amp; Scorecard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Brightwater Health Partners × Ridgeline Software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  <w:br/>
        <w:t xml:space="preserve">Pilot units: St. Anne's 4 West and 5 East · Duration: 4 weeks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12253E"/>
        </w:rPr>
        <w:t xml:space="preserve">Purpose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Discharge acceleration and capacity visibility for med-surg units, starting with 4 West and 5 East at St. Anne's and expanding to all three hospitals. This document defines what "success" means before the pilot starts, so the go/no-go decision is made against numbers everyone agreed to up front.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12253E"/>
        </w:rPr>
        <w:t xml:space="preserve">Success criteria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FFFFFF"/>
        </w:rPr>
        <w:t xml:space="preserve">Criterion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FFFFFF"/>
        </w:rPr>
        <w:t xml:space="preserve">Baseline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FFFFFF"/>
        </w:rPr>
        <w:t xml:space="preserve">Target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FFFFFF"/>
        </w:rPr>
        <w:t xml:space="preserve">How measured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FFFFFF"/>
        </w:rPr>
        <w:t xml:space="preserve">Owner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Discharge-to-departure time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5.2 hours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Under 3.5 hours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ADT discharge order to departure timestamp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Samantha Cole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Discharges before noon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14%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30%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Share of discharges with departure before 12:00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Tanya Ellis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Nurse manager time chasing status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6.0 hrs/week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Under 3.0 hrs/week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Weekly self-reported time log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Tanya Ellis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Decision rule:</w:t>
      </w:r>
      <w:r>
        <w:rPr>
          <w:rFonts w:ascii="Helvetica" w:hAnsi="Helvetica" w:cs="Helvetica"/>
          <w:sz w:val="29"/>
          <w:sz-cs w:val="29"/>
          <w:spacing w:val="0"/>
        </w:rPr>
        <w:t xml:space="preserve"> the pilot succeeds if at least two of the three criteria reach target by the final readout, and InfoSec completes its risk assessment with no high findings.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12253E"/>
        </w:rPr>
        <w:t xml:space="preserve">Scope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Read-only Epic ADT feed in the test environment, then production after InfoSec sign-off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Discharge milestones: order signed, medications ready, transport requested, education complete, departed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Automated handoffs to transport and pharmacy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12253E"/>
        </w:rPr>
        <w:t xml:space="preserve">Out of scope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Write-back to Epic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Perioperative scheduling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Units outside 4 West and 5 East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12253E"/>
        </w:rPr>
        <w:t xml:space="preserve">Timeline and readouts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FFFFFF"/>
        </w:rPr>
        <w:t xml:space="preserve">Week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FFFFFF"/>
        </w:rPr>
        <w:t xml:space="preserve">Milestone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0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Kickoff, baseline confirmed, ADT feed connected in test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1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Week 1 readout (Samantha, Tanya, Alex)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2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Week 2 readout; InfoSec responses delivered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4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Final readout to the Capacity Steering Committee; go/no-go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Sample document for the myBivy demo workspace. All organizations and people are fictional.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