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12253E"/>
        </w:rPr>
        <w:t xml:space="preserve">Master Subscription Agreement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Ridgeline Software, Inc. and Meridian Credit Union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Redline v2: Meridian Legal comments on Ridgeline v1. Deletions shown struck through; insertions underlined in blue.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4. Fees and Payment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4.1 Customer will pay the fees in each Order Form annually in advance within </w:t>
      </w:r>
      <w:r>
        <w:rPr>
          <w:rFonts w:ascii="Helvetica" w:hAnsi="Helvetica" w:cs="Helvetica"/>
          <w:sz w:val="29"/>
          <w:sz-cs w:val="29"/>
          <w:strike/>
          <w:spacing w:val="0"/>
          <w:color w:val="A80816"/>
        </w:rPr>
        <w:t xml:space="preserve">thirty (30)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1634CF"/>
        </w:rPr>
        <w:t xml:space="preserve">forty-five (45)</w:t>
      </w:r>
      <w:r>
        <w:rPr>
          <w:rFonts w:ascii="Helvetica" w:hAnsi="Helvetica" w:cs="Helvetica"/>
          <w:sz w:val="29"/>
          <w:sz-cs w:val="29"/>
          <w:spacing w:val="0"/>
        </w:rPr>
        <w:t xml:space="preserve"> days of the invoice date.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4.3 Ridgeline may increase fees on renewal by no more than </w:t>
      </w:r>
      <w:r>
        <w:rPr>
          <w:rFonts w:ascii="Helvetica" w:hAnsi="Helvetica" w:cs="Helvetica"/>
          <w:sz w:val="29"/>
          <w:sz-cs w:val="29"/>
          <w:strike/>
          <w:spacing w:val="0"/>
          <w:color w:val="A80816"/>
        </w:rPr>
        <w:t xml:space="preserve">seven percent (7%)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1634CF"/>
        </w:rPr>
        <w:t xml:space="preserve">five percent (5%)</w:t>
      </w:r>
      <w:r>
        <w:rPr>
          <w:rFonts w:ascii="Helvetica" w:hAnsi="Helvetica" w:cs="Helvetica"/>
          <w:sz w:val="29"/>
          <w:sz-cs w:val="29"/>
          <w:spacing w:val="0"/>
        </w:rPr>
        <w:t xml:space="preserve"> per year.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[Meridian Legal – S. Delaney: 45-day terms are standard for our vendor program. Please confirm.]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7. Data Protection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7.2 Ridgeline will notify Customer of a Security Incident affecting Customer Data without undue delay and in any event within </w:t>
      </w:r>
      <w:r>
        <w:rPr>
          <w:rFonts w:ascii="Helvetica" w:hAnsi="Helvetica" w:cs="Helvetica"/>
          <w:sz w:val="29"/>
          <w:sz-cs w:val="29"/>
          <w:strike/>
          <w:spacing w:val="0"/>
          <w:color w:val="A80816"/>
        </w:rPr>
        <w:t xml:space="preserve">seventy-two (72)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1634CF"/>
        </w:rPr>
        <w:t xml:space="preserve">forty-eight (48)</w:t>
      </w:r>
      <w:r>
        <w:rPr>
          <w:rFonts w:ascii="Helvetica" w:hAnsi="Helvetica" w:cs="Helvetica"/>
          <w:sz w:val="29"/>
          <w:sz-cs w:val="29"/>
          <w:spacing w:val="0"/>
        </w:rPr>
        <w:t xml:space="preserve"> hours of confirmation.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7.5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1634CF"/>
        </w:rPr>
        <w:t xml:space="preserve">Upon reasonable notice and no more than once per year, Customer or its regulators, including the NCUA, may audit Ridgeline's compliance with this Section 7.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[Meridian Legal – S. Delaney: regulator audit right is required under our third-party risk policy.]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[Ridgeline Legal: 48-hour notification accepted. Audit right accepted for regulators; for Customer audits, propose reliance on the SOC 2 Type II report plus one on-site review per year at Customer's cost.]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9. Limitation of Liability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9.1 Each party's aggregate liability will not exceed the fees paid in the </w:t>
      </w:r>
      <w:r>
        <w:rPr>
          <w:rFonts w:ascii="Helvetica" w:hAnsi="Helvetica" w:cs="Helvetica"/>
          <w:sz w:val="29"/>
          <w:sz-cs w:val="29"/>
          <w:strike/>
          <w:spacing w:val="0"/>
          <w:color w:val="A80816"/>
        </w:rPr>
        <w:t xml:space="preserve">twelve (12)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1634CF"/>
        </w:rPr>
        <w:t xml:space="preserve">twenty-four (24)</w:t>
      </w:r>
      <w:r>
        <w:rPr>
          <w:rFonts w:ascii="Helvetica" w:hAnsi="Helvetica" w:cs="Helvetica"/>
          <w:sz w:val="29"/>
          <w:sz-cs w:val="29"/>
          <w:spacing w:val="0"/>
        </w:rPr>
        <w:t xml:space="preserve"> months preceding the claim</w:t>
      </w:r>
      <w:r>
        <w:rPr>
          <w:rFonts w:ascii="Helvetica" w:hAnsi="Helvetica" w:cs="Helvetica"/>
          <w:sz w:val="29"/>
          <w:sz-cs w:val="29"/>
          <w:u w:val="single"/>
          <w:spacing w:val="0"/>
          <w:color w:val="1634CF"/>
        </w:rPr>
        <w:t xml:space="preserve">, except that for breaches of Section 7 the cap will be three times (3x) such fees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[Meridian Legal – S. Delaney: super-cap for data breaches is a must-have.]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[Ridgeline Legal: open. Counter at 2x fees for Section 7 with a 12-month base cap. Needs a call.]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Open items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Payment terms: 30 vs. 45 days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Data-breach super-cap: 3x (Meridian) vs. 2x (Ridgeline counter)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Scope of customer audit right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Sample document for the myBivy demo workspace. All organizations and people are fictional.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