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0D1117"/>
          </w:tcPr>
          <w:p>
            <w:pPr>
              <w:spacing w:before="200" w:after="40"/>
              <w:ind w:left="288"/>
            </w:pPr>
            <w:r>
              <w:rPr>
                <w:b/>
                <w:color w:val="00C2FF"/>
                <w:sz w:val="18"/>
              </w:rPr>
              <w:t>WHITEPAPER</w:t>
            </w:r>
          </w:p>
          <w:p>
            <w:pPr>
              <w:spacing w:after="80"/>
              <w:ind w:left="288"/>
            </w:pPr>
            <w:r>
              <w:rPr>
                <w:b/>
                <w:color w:val="FFFFFF"/>
                <w:sz w:val="32"/>
              </w:rPr>
              <w:t>Zero Trust Security Architecture: A CISO's Implementation Guide</w:t>
            </w:r>
          </w:p>
          <w:p>
            <w:pPr>
              <w:spacing w:after="200"/>
              <w:ind w:left="288"/>
            </w:pPr>
            <w:r>
              <w:rPr>
                <w:b w:val="0"/>
                <w:color w:val="6B7280"/>
                <w:sz w:val="18"/>
              </w:rPr>
              <w:t>Target Audience: CISOs and Senior Security Leaders  |  20260528_070739</w:t>
            </w:r>
          </w:p>
        </w:tc>
      </w:tr>
    </w:tbl>
    <w:p/>
    <w:p>
      <w:pPr>
        <w:pStyle w:val="Heading2"/>
      </w:pPr>
      <w:r>
        <w:rPr>
          <w:color w:val="1D4ED8"/>
        </w:rPr>
        <w:t>Quality Assurance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0"/>
            <w:shd w:val="clear" w:color="auto" w:fill="0D1117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FFFFFF"/>
                <w:sz w:val="18"/>
              </w:rPr>
              <w:t>Criteria</w:t>
            </w:r>
          </w:p>
        </w:tc>
        <w:tc>
          <w:tcPr>
            <w:tcW w:type="dxa" w:w="1728"/>
            <w:shd w:val="clear" w:color="auto" w:fill="0D1117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b/>
                <w:color w:val="FFFFFF"/>
                <w:sz w:val="18"/>
              </w:rPr>
              <w:t>Score / 20</w:t>
            </w:r>
          </w:p>
        </w:tc>
      </w:tr>
      <w:tr>
        <w:tc>
          <w:tcPr>
            <w:tcW w:type="dxa" w:w="504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374151"/>
                <w:sz w:val="18"/>
              </w:rPr>
              <w:t>Technical Accuracy</w:t>
            </w:r>
          </w:p>
        </w:tc>
        <w:tc>
          <w:tcPr>
            <w:tcW w:type="dxa" w:w="172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color w:val="374151"/>
                <w:sz w:val="18"/>
              </w:rPr>
              <w:t>18</w:t>
            </w:r>
          </w:p>
        </w:tc>
      </w:tr>
      <w:tr>
        <w:tc>
          <w:tcPr>
            <w:tcW w:type="dxa" w:w="504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374151"/>
                <w:sz w:val="18"/>
              </w:rPr>
              <w:t>Relevance &amp; Value</w:t>
            </w:r>
          </w:p>
        </w:tc>
        <w:tc>
          <w:tcPr>
            <w:tcW w:type="dxa" w:w="172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color w:val="374151"/>
                <w:sz w:val="18"/>
              </w:rPr>
              <w:t>18</w:t>
            </w:r>
          </w:p>
        </w:tc>
      </w:tr>
      <w:tr>
        <w:tc>
          <w:tcPr>
            <w:tcW w:type="dxa" w:w="504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374151"/>
                <w:sz w:val="18"/>
              </w:rPr>
              <w:t>SEO Compliance</w:t>
            </w:r>
          </w:p>
        </w:tc>
        <w:tc>
          <w:tcPr>
            <w:tcW w:type="dxa" w:w="172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color w:val="374151"/>
                <w:sz w:val="18"/>
              </w:rPr>
              <w:t>17</w:t>
            </w:r>
          </w:p>
        </w:tc>
      </w:tr>
      <w:tr>
        <w:tc>
          <w:tcPr>
            <w:tcW w:type="dxa" w:w="504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374151"/>
                <w:sz w:val="18"/>
              </w:rPr>
              <w:t>Brand &amp; Tone</w:t>
            </w:r>
          </w:p>
        </w:tc>
        <w:tc>
          <w:tcPr>
            <w:tcW w:type="dxa" w:w="172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color w:val="374151"/>
                <w:sz w:val="18"/>
              </w:rPr>
              <w:t>18</w:t>
            </w:r>
          </w:p>
        </w:tc>
      </w:tr>
      <w:tr>
        <w:tc>
          <w:tcPr>
            <w:tcW w:type="dxa" w:w="504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374151"/>
                <w:sz w:val="18"/>
              </w:rPr>
              <w:t>Quality &amp; Clarity</w:t>
            </w:r>
          </w:p>
        </w:tc>
        <w:tc>
          <w:tcPr>
            <w:tcW w:type="dxa" w:w="172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color w:val="374151"/>
                <w:sz w:val="18"/>
              </w:rPr>
              <w:t>17</w:t>
            </w:r>
          </w:p>
        </w:tc>
      </w:tr>
      <w:tr>
        <w:tc>
          <w:tcPr>
            <w:tcW w:type="dxa" w:w="5040"/>
            <w:shd w:val="clear" w:color="auto" w:fill="E0F2FE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sz w:val="18"/>
              </w:rPr>
              <w:t>Total Score</w:t>
            </w:r>
          </w:p>
        </w:tc>
        <w:tc>
          <w:tcPr>
            <w:tcW w:type="dxa" w:w="1728"/>
            <w:shd w:val="clear" w:color="auto" w:fill="E0F2FE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b/>
                <w:sz w:val="18"/>
              </w:rPr>
              <w:t>88/100</w:t>
            </w:r>
          </w:p>
        </w:tc>
      </w:tr>
      <w:tr>
        <w:tc>
          <w:tcPr>
            <w:tcW w:type="dxa" w:w="5040"/>
            <w:shd w:val="clear" w:color="auto" w:fill="F0FDF4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F0FDF4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b/>
                <w:color w:val="10B981"/>
                <w:sz w:val="18"/>
              </w:rPr>
              <w:t>APPROVED ✓</w:t>
            </w:r>
          </w:p>
        </w:tc>
      </w:tr>
    </w:tbl>
    <w:p>
      <w:pPr>
        <w:spacing w:before="120"/>
      </w:pPr>
      <w:r>
        <w:rPr>
          <w:i/>
          <w:color w:val="6B7280"/>
          <w:sz w:val="18"/>
        </w:rPr>
        <w:t>Reviewer Notes: Excellent technical depth with accurate references to NIST SP 800-207 and CISA maturity model. Clear structure, strong audience targeting for CISOs, and actionable phased roadmap. Minor improvement: the pitfalls section could include a specific threat example.</w:t>
      </w:r>
    </w:p>
    <w:p/>
    <w:p>
      <w:pPr>
        <w:pStyle w:val="Heading1"/>
      </w:pPr>
      <w:r>
        <w:rPr>
          <w:color w:val="1D4ED8"/>
        </w:rPr>
        <w:t>Zero Trust Security Architecture: A CISO's Implementation Guide</w:t>
      </w:r>
    </w:p>
    <w:p>
      <w:pPr>
        <w:spacing w:after="40"/>
      </w:pPr>
    </w:p>
    <w:p>
      <w:pPr>
        <w:pStyle w:val="Heading2"/>
      </w:pPr>
      <w:r>
        <w:rPr>
          <w:color w:val="1D4ED8"/>
        </w:rPr>
        <w:t>Executive Summary</w:t>
      </w:r>
    </w:p>
    <w:p>
      <w:pPr>
        <w:spacing w:after="40"/>
      </w:pPr>
    </w:p>
    <w:p>
      <w:pPr>
        <w:spacing w:after="80"/>
        <w:jc w:val="both"/>
      </w:pPr>
      <w:r>
        <w:rPr>
          <w:color w:val="374151"/>
          <w:sz w:val="20"/>
        </w:rPr>
        <w:t>Zero Trust is no longer a buzzword — it is the foundational security model for modern enterprises. According to Gartner, by 2025 more than 60% of organizations will have embraced Zero Trust as a starting point for their security strategy. This guide equips CISOs and security leaders with an actionable implementation roadmap grounded in NIST SP 800-207, CISA Zero Trust Maturity Model, and real-world lessons from enterprise deployments.</w:t>
      </w:r>
    </w:p>
    <w:p>
      <w:pPr>
        <w:spacing w:after="40"/>
      </w:pPr>
    </w:p>
    <w:p>
      <w:pPr>
        <w:pBdr>
          <w:bottom w:val="single" w:sz="4" w:space="1" w:color="E5E7EB"/>
        </w:pBdr>
      </w:pPr>
    </w:p>
    <w:p>
      <w:pPr>
        <w:spacing w:after="40"/>
      </w:pPr>
    </w:p>
    <w:p>
      <w:pPr>
        <w:pStyle w:val="Heading2"/>
      </w:pPr>
      <w:r>
        <w:rPr>
          <w:color w:val="1D4ED8"/>
        </w:rPr>
        <w:t>What Is Zero Trust and Why Does It Matter Now?</w:t>
      </w:r>
    </w:p>
    <w:p>
      <w:pPr>
        <w:spacing w:after="40"/>
      </w:pPr>
    </w:p>
    <w:p>
      <w:pPr>
        <w:spacing w:after="80"/>
        <w:jc w:val="both"/>
      </w:pPr>
      <w:r>
        <w:rPr>
          <w:color w:val="374151"/>
          <w:sz w:val="20"/>
        </w:rPr>
        <w:t>Traditional perimeter-based security assumed that everything inside the corporate network could be trusted. That model collapsed with the rise of cloud workloads, remote work, and supply-chain attacks like SolarWinds and Kaseya. Zero Trust operates on a simple but powerful principle: never trust, always verify.</w:t>
      </w:r>
    </w:p>
    <w:p>
      <w:pPr>
        <w:spacing w:after="40"/>
      </w:pPr>
    </w:p>
    <w:p>
      <w:pPr>
        <w:spacing w:after="80"/>
        <w:jc w:val="both"/>
      </w:pPr>
      <w:r>
        <w:rPr>
          <w:color w:val="374151"/>
          <w:sz w:val="20"/>
        </w:rPr>
        <w:t>Every access request — regardless of where it originates — must be authenticated, authorized, and continuously validated before access is granted. This applies to users, devices, workloads, and data.</w:t>
      </w:r>
    </w:p>
    <w:p>
      <w:pPr>
        <w:spacing w:after="40"/>
      </w:pPr>
    </w:p>
    <w:p>
      <w:pPr>
        <w:pStyle w:val="Heading3"/>
      </w:pPr>
      <w:r>
        <w:rPr>
          <w:color w:val="374151"/>
          <w:sz w:val="22"/>
        </w:rPr>
        <w:t>The Business Case for Zero Trust</w:t>
      </w:r>
    </w:p>
    <w:p>
      <w:pPr>
        <w:spacing w:after="40"/>
      </w:pPr>
    </w:p>
    <w:p>
      <w:pPr>
        <w:pStyle w:val="ListBullet"/>
        <w:spacing w:after="40"/>
        <w:ind w:left="360"/>
      </w:pPr>
      <w:r>
        <w:rPr>
          <w:color w:val="374151"/>
          <w:sz w:val="20"/>
        </w:rPr>
        <w:t>Breach cost reduction: IBM's 2023 Cost of a Data Breach Report found organizations with mature Zero Trust implementations saved an average of $1.76M per breach.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Regulatory alignment: Zero Trust architectures directly support compliance with GDPR, HIPAA, PCI-DSS, and Executive Order 14028.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Cloud enablement: Zero Trust is a prerequisite for secure multi-cloud and hybrid-cloud strategies.</w:t>
      </w:r>
    </w:p>
    <w:p>
      <w:pPr>
        <w:spacing w:after="40"/>
      </w:pPr>
    </w:p>
    <w:p>
      <w:pPr>
        <w:pBdr>
          <w:bottom w:val="single" w:sz="4" w:space="1" w:color="E5E7EB"/>
        </w:pBdr>
      </w:pPr>
    </w:p>
    <w:p>
      <w:pPr>
        <w:spacing w:after="40"/>
      </w:pPr>
    </w:p>
    <w:p>
      <w:pPr>
        <w:pStyle w:val="Heading2"/>
      </w:pPr>
      <w:r>
        <w:rPr>
          <w:color w:val="1D4ED8"/>
        </w:rPr>
        <w:t>The Five Pillars of Zero Trust</w:t>
      </w:r>
    </w:p>
    <w:p>
      <w:pPr>
        <w:spacing w:after="40"/>
      </w:pPr>
    </w:p>
    <w:p>
      <w:pPr>
        <w:pStyle w:val="Heading3"/>
      </w:pPr>
      <w:r>
        <w:rPr>
          <w:color w:val="374151"/>
          <w:sz w:val="22"/>
        </w:rPr>
        <w:t>1. Identity</w:t>
      </w:r>
    </w:p>
    <w:p>
      <w:pPr>
        <w:spacing w:after="40"/>
      </w:pPr>
    </w:p>
    <w:p>
      <w:pPr>
        <w:spacing w:after="80"/>
        <w:jc w:val="both"/>
      </w:pPr>
      <w:r>
        <w:rPr>
          <w:color w:val="374151"/>
          <w:sz w:val="20"/>
        </w:rPr>
        <w:t>Identity is the new perimeter. Every human user, service account, and machine identity must be managed through a centralized identity provider with:</w:t>
      </w:r>
    </w:p>
    <w:p>
      <w:pPr>
        <w:spacing w:after="40"/>
      </w:pPr>
    </w:p>
    <w:p>
      <w:pPr>
        <w:pStyle w:val="ListBullet"/>
        <w:spacing w:after="40"/>
        <w:ind w:left="360"/>
      </w:pPr>
      <w:r>
        <w:rPr>
          <w:color w:val="374151"/>
          <w:sz w:val="20"/>
        </w:rPr>
        <w:t>Multi-factor authentication (MFA) enforced universally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Privileged Access Management (PAM) for administrative accounts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Just-In-Time (JIT) access provisioning to reduce standing privileges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Continuous authentication signals (device posture, behavioral analytics)</w:t>
      </w:r>
    </w:p>
    <w:p>
      <w:pPr>
        <w:spacing w:after="40"/>
      </w:pPr>
    </w:p>
    <w:p>
      <w:pPr>
        <w:spacing w:after="80"/>
        <w:jc w:val="both"/>
      </w:pPr>
      <w:r>
        <w:rPr>
          <w:color w:val="374151"/>
          <w:sz w:val="20"/>
        </w:rPr>
        <w:t>Key tools: Microsoft Entra ID, Okta, CyberArk, BeyondTrust</w:t>
      </w:r>
    </w:p>
    <w:p>
      <w:pPr>
        <w:spacing w:after="40"/>
      </w:pPr>
    </w:p>
    <w:p>
      <w:pPr>
        <w:pStyle w:val="Heading3"/>
      </w:pPr>
      <w:r>
        <w:rPr>
          <w:color w:val="374151"/>
          <w:sz w:val="22"/>
        </w:rPr>
        <w:t>2. Devices</w:t>
      </w:r>
    </w:p>
    <w:p>
      <w:pPr>
        <w:spacing w:after="40"/>
      </w:pPr>
    </w:p>
    <w:p>
      <w:pPr>
        <w:spacing w:after="80"/>
        <w:jc w:val="both"/>
      </w:pPr>
      <w:r>
        <w:rPr>
          <w:color w:val="374151"/>
          <w:sz w:val="20"/>
        </w:rPr>
        <w:t>Device health determines access eligibility. Unmanaged or compromised devices are a primary attack vector — 67% of ransomware attacks in 2023 exploited unpatched endpoints (Verizon DBIR 2023).</w:t>
      </w:r>
    </w:p>
    <w:p>
      <w:pPr>
        <w:spacing w:after="40"/>
      </w:pPr>
    </w:p>
    <w:p>
      <w:pPr>
        <w:pStyle w:val="ListBullet"/>
        <w:spacing w:after="40"/>
        <w:ind w:left="360"/>
      </w:pPr>
      <w:r>
        <w:rPr>
          <w:color w:val="374151"/>
          <w:sz w:val="20"/>
        </w:rPr>
        <w:t>Enforce endpoint detection and response (EDR) on all corporate devices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Implement device compliance policies via MDM/UEM platforms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Extend controls to BYOD through Mobile Application Management (MAM)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Integrate device posture signals into access policy decisions</w:t>
      </w:r>
    </w:p>
    <w:p>
      <w:pPr>
        <w:spacing w:after="40"/>
      </w:pPr>
    </w:p>
    <w:p>
      <w:pPr>
        <w:pStyle w:val="Heading3"/>
      </w:pPr>
      <w:r>
        <w:rPr>
          <w:color w:val="374151"/>
          <w:sz w:val="22"/>
        </w:rPr>
        <w:t>3. Networks</w:t>
      </w:r>
    </w:p>
    <w:p>
      <w:pPr>
        <w:spacing w:after="40"/>
      </w:pPr>
    </w:p>
    <w:p>
      <w:pPr>
        <w:spacing w:after="80"/>
        <w:jc w:val="both"/>
      </w:pPr>
      <w:r>
        <w:rPr>
          <w:color w:val="374151"/>
          <w:sz w:val="20"/>
        </w:rPr>
        <w:t>Eliminate implicit trust in the network layer:</w:t>
      </w:r>
    </w:p>
    <w:p>
      <w:pPr>
        <w:spacing w:after="40"/>
      </w:pPr>
    </w:p>
    <w:p>
      <w:pPr>
        <w:pStyle w:val="ListBullet"/>
        <w:spacing w:after="40"/>
        <w:ind w:left="360"/>
      </w:pPr>
      <w:r>
        <w:rPr>
          <w:color w:val="374151"/>
          <w:sz w:val="20"/>
        </w:rPr>
        <w:t>Implement micro-segmentation to contain lateral movement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Replace legacy VPN with Software-Defined Perimeter (SDP) or ZTNA solutions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Enforce encrypted communications (TLS 1.3) end-to-end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Deploy DNS security filtering and network traffic analysis (NTA)</w:t>
      </w:r>
    </w:p>
    <w:p>
      <w:pPr>
        <w:spacing w:after="40"/>
      </w:pPr>
    </w:p>
    <w:p>
      <w:pPr>
        <w:pStyle w:val="Heading3"/>
      </w:pPr>
      <w:r>
        <w:rPr>
          <w:color w:val="374151"/>
          <w:sz w:val="22"/>
        </w:rPr>
        <w:t>4. Applications and Workloads</w:t>
      </w:r>
    </w:p>
    <w:p>
      <w:pPr>
        <w:spacing w:after="40"/>
      </w:pPr>
    </w:p>
    <w:p>
      <w:pPr>
        <w:spacing w:after="80"/>
        <w:jc w:val="both"/>
      </w:pPr>
      <w:r>
        <w:rPr>
          <w:color w:val="374151"/>
          <w:sz w:val="20"/>
        </w:rPr>
        <w:t>Secure the application layer with:</w:t>
      </w:r>
    </w:p>
    <w:p>
      <w:pPr>
        <w:spacing w:after="40"/>
      </w:pPr>
    </w:p>
    <w:p>
      <w:pPr>
        <w:pStyle w:val="ListBullet"/>
        <w:spacing w:after="40"/>
        <w:ind w:left="360"/>
      </w:pPr>
      <w:r>
        <w:rPr>
          <w:color w:val="374151"/>
          <w:sz w:val="20"/>
        </w:rPr>
        <w:t>Application-layer access controls independent of network location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API security gateways with OAuth 2.0 / OpenID Connect enforcement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Workload identity for containers and serverless functions (SPIFFE/SPIRE)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Runtime application self-protection (RASP) for critical applications</w:t>
      </w:r>
    </w:p>
    <w:p>
      <w:pPr>
        <w:spacing w:after="40"/>
      </w:pPr>
    </w:p>
    <w:p>
      <w:pPr>
        <w:pStyle w:val="Heading3"/>
      </w:pPr>
      <w:r>
        <w:rPr>
          <w:color w:val="374151"/>
          <w:sz w:val="22"/>
        </w:rPr>
        <w:t>5. Data</w:t>
      </w:r>
    </w:p>
    <w:p>
      <w:pPr>
        <w:spacing w:after="40"/>
      </w:pPr>
    </w:p>
    <w:p>
      <w:pPr>
        <w:spacing w:after="80"/>
        <w:jc w:val="both"/>
      </w:pPr>
      <w:r>
        <w:rPr>
          <w:color w:val="374151"/>
          <w:sz w:val="20"/>
        </w:rPr>
        <w:t>Data is the ultimate target. Apply data-centric security controls:</w:t>
      </w:r>
    </w:p>
    <w:p>
      <w:pPr>
        <w:spacing w:after="40"/>
      </w:pPr>
    </w:p>
    <w:p>
      <w:pPr>
        <w:pStyle w:val="ListBullet"/>
        <w:spacing w:after="40"/>
        <w:ind w:left="360"/>
      </w:pPr>
      <w:r>
        <w:rPr>
          <w:color w:val="374151"/>
          <w:sz w:val="20"/>
        </w:rPr>
        <w:t>Classify and label sensitive data across structured and unstructured stores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Enforce data loss prevention (DLP) policies at egress points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Apply encryption at rest and in transit with centralized key management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Implement Information Rights Management (IRM) for sensitive documents</w:t>
      </w:r>
    </w:p>
    <w:p>
      <w:pPr>
        <w:spacing w:after="40"/>
      </w:pPr>
    </w:p>
    <w:p>
      <w:pPr>
        <w:pBdr>
          <w:bottom w:val="single" w:sz="4" w:space="1" w:color="E5E7EB"/>
        </w:pBdr>
      </w:pPr>
    </w:p>
    <w:p>
      <w:pPr>
        <w:spacing w:after="40"/>
      </w:pPr>
    </w:p>
    <w:p>
      <w:pPr>
        <w:pStyle w:val="Heading2"/>
      </w:pPr>
      <w:r>
        <w:rPr>
          <w:color w:val="1D4ED8"/>
        </w:rPr>
        <w:t>The Zero Trust Maturity Model: Where Are You?</w:t>
      </w:r>
    </w:p>
    <w:p>
      <w:pPr>
        <w:spacing w:after="40"/>
      </w:pPr>
    </w:p>
    <w:p>
      <w:pPr>
        <w:spacing w:after="80"/>
        <w:jc w:val="both"/>
      </w:pPr>
      <w:r>
        <w:rPr>
          <w:color w:val="374151"/>
          <w:sz w:val="20"/>
        </w:rPr>
        <w:t>CISA defines three maturity stages:</w:t>
      </w:r>
    </w:p>
    <w:p>
      <w:pPr>
        <w:spacing w:after="40"/>
      </w:pPr>
    </w:p>
    <w:p>
      <w:pPr>
        <w:spacing w:after="80"/>
        <w:jc w:val="both"/>
      </w:pPr>
      <w:r>
        <w:rPr>
          <w:color w:val="374151"/>
          <w:sz w:val="20"/>
        </w:rPr>
        <w:t>| Stage | Description | Key Characteristics |</w:t>
      </w:r>
    </w:p>
    <w:p>
      <w:pPr>
        <w:spacing w:after="80"/>
        <w:jc w:val="both"/>
      </w:pPr>
      <w:r>
        <w:rPr>
          <w:color w:val="374151"/>
          <w:sz w:val="20"/>
        </w:rPr>
        <w:t>|-------|-------------|---------------------|</w:t>
      </w:r>
    </w:p>
    <w:p>
      <w:pPr>
        <w:spacing w:after="80"/>
        <w:jc w:val="both"/>
      </w:pPr>
      <w:r>
        <w:rPr>
          <w:color w:val="374151"/>
          <w:sz w:val="20"/>
        </w:rPr>
        <w:t>| Traditional | Perimeter-focused, implicit trust | Flat networks, VPN-centric, manual provisioning |</w:t>
      </w:r>
    </w:p>
    <w:p>
      <w:pPr>
        <w:spacing w:after="80"/>
        <w:jc w:val="both"/>
      </w:pPr>
      <w:r>
        <w:rPr>
          <w:color w:val="374151"/>
          <w:sz w:val="20"/>
        </w:rPr>
        <w:t>| Advanced | Attribute-based access, some automation | MFA deployed, initial segmentation, cloud IAM |</w:t>
      </w:r>
    </w:p>
    <w:p>
      <w:pPr>
        <w:spacing w:after="80"/>
        <w:jc w:val="both"/>
      </w:pPr>
      <w:r>
        <w:rPr>
          <w:color w:val="374151"/>
          <w:sz w:val="20"/>
        </w:rPr>
        <w:t>| Optimal | Continuous validation, ML-driven | Dynamic policy, full telemetry, AI-augmented SOC |</w:t>
      </w:r>
    </w:p>
    <w:p>
      <w:pPr>
        <w:spacing w:after="40"/>
      </w:pPr>
    </w:p>
    <w:p>
      <w:pPr>
        <w:spacing w:after="80"/>
        <w:jc w:val="both"/>
      </w:pPr>
      <w:r>
        <w:rPr>
          <w:color w:val="374151"/>
          <w:sz w:val="20"/>
        </w:rPr>
        <w:t>Most enterprises sit between Traditional and Advanced. The goal is not to reach Optimal overnight, but to build a roadmap with measurable milestones.</w:t>
      </w:r>
    </w:p>
    <w:p>
      <w:pPr>
        <w:spacing w:after="40"/>
      </w:pPr>
    </w:p>
    <w:p>
      <w:pPr>
        <w:pBdr>
          <w:bottom w:val="single" w:sz="4" w:space="1" w:color="E5E7EB"/>
        </w:pBdr>
      </w:pPr>
    </w:p>
    <w:p>
      <w:pPr>
        <w:spacing w:after="40"/>
      </w:pPr>
    </w:p>
    <w:p>
      <w:pPr>
        <w:pStyle w:val="Heading2"/>
      </w:pPr>
      <w:r>
        <w:rPr>
          <w:color w:val="1D4ED8"/>
        </w:rPr>
        <w:t>Implementation Roadmap</w:t>
      </w:r>
    </w:p>
    <w:p>
      <w:pPr>
        <w:spacing w:after="40"/>
      </w:pPr>
    </w:p>
    <w:p>
      <w:pPr>
        <w:pStyle w:val="Heading3"/>
      </w:pPr>
      <w:r>
        <w:rPr>
          <w:color w:val="374151"/>
          <w:sz w:val="22"/>
        </w:rPr>
        <w:t>Phase 1: Foundation (Months 1–3)</w:t>
      </w:r>
    </w:p>
    <w:p>
      <w:pPr>
        <w:spacing w:after="40"/>
      </w:pPr>
    </w:p>
    <w:p>
      <w:pPr>
        <w:pStyle w:val="ListBullet"/>
        <w:spacing w:after="40"/>
        <w:ind w:left="360"/>
      </w:pPr>
      <w:r>
        <w:rPr>
          <w:color w:val="374151"/>
          <w:sz w:val="20"/>
        </w:rPr>
        <w:t>Conduct a Zero Trust readiness assessment against NIST SP 800-207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Inventory all identities, devices, applications, and data flows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Deploy MFA universally — start with privileged accounts and email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Enable Single Sign-On (SSO) across core SaaS applications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Establish a baseline of device health and compliance posture</w:t>
      </w:r>
    </w:p>
    <w:p>
      <w:pPr>
        <w:spacing w:after="40"/>
      </w:pPr>
    </w:p>
    <w:p>
      <w:pPr>
        <w:pStyle w:val="Heading3"/>
      </w:pPr>
      <w:r>
        <w:rPr>
          <w:color w:val="374151"/>
          <w:sz w:val="22"/>
        </w:rPr>
        <w:t>Phase 2: Strengthen Identity and Access (Months 4–6)</w:t>
      </w:r>
    </w:p>
    <w:p>
      <w:pPr>
        <w:spacing w:after="40"/>
      </w:pPr>
    </w:p>
    <w:p>
      <w:pPr>
        <w:pStyle w:val="ListBullet"/>
        <w:spacing w:after="40"/>
        <w:ind w:left="360"/>
      </w:pPr>
      <w:r>
        <w:rPr>
          <w:color w:val="374151"/>
          <w:sz w:val="20"/>
        </w:rPr>
        <w:t>Implement a PAM solution for all privileged access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Enforce least-privilege access across cloud IAM roles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Deploy ZTNA as a VPN replacement for remote access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Begin application-level micro-segmentation in the highest-risk segments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Integrate identity signals into your SIEM for anomaly detection</w:t>
      </w:r>
    </w:p>
    <w:p>
      <w:pPr>
        <w:spacing w:after="40"/>
      </w:pPr>
    </w:p>
    <w:p>
      <w:pPr>
        <w:pStyle w:val="Heading3"/>
      </w:pPr>
      <w:r>
        <w:rPr>
          <w:color w:val="374151"/>
          <w:sz w:val="22"/>
        </w:rPr>
        <w:t>Phase 3: Automate and Scale (Months 7–12)</w:t>
      </w:r>
    </w:p>
    <w:p>
      <w:pPr>
        <w:spacing w:after="40"/>
      </w:pPr>
    </w:p>
    <w:p>
      <w:pPr>
        <w:pStyle w:val="ListBullet"/>
        <w:spacing w:after="40"/>
        <w:ind w:left="360"/>
      </w:pPr>
      <w:r>
        <w:rPr>
          <w:color w:val="374151"/>
          <w:sz w:val="20"/>
        </w:rPr>
        <w:t>Extend device compliance policies to all endpoints including BYOD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Operationalize continuous monitoring with UEBA (User and Entity Behavior Analytics)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Automate access reviews and lifecycle management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Expand micro-segmentation to production workloads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Implement data classification and DLP enforcement</w:t>
      </w:r>
    </w:p>
    <w:p>
      <w:pPr>
        <w:spacing w:after="40"/>
      </w:pPr>
    </w:p>
    <w:p>
      <w:pPr>
        <w:pStyle w:val="Heading3"/>
      </w:pPr>
      <w:r>
        <w:rPr>
          <w:color w:val="374151"/>
          <w:sz w:val="22"/>
        </w:rPr>
        <w:t>Phase 4: Optimize (Year 2+)</w:t>
      </w:r>
    </w:p>
    <w:p>
      <w:pPr>
        <w:spacing w:after="40"/>
      </w:pPr>
    </w:p>
    <w:p>
      <w:pPr>
        <w:pStyle w:val="ListBullet"/>
        <w:spacing w:after="40"/>
        <w:ind w:left="360"/>
      </w:pPr>
      <w:r>
        <w:rPr>
          <w:color w:val="374151"/>
          <w:sz w:val="20"/>
        </w:rPr>
        <w:t>Drive toward dynamic, risk-adaptive access policies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Integrate AI/ML-driven threat detection across all five pillars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Participate in threat intelligence sharing (ISACs, CISA advisories)</w:t>
      </w:r>
    </w:p>
    <w:p>
      <w:pPr>
        <w:pStyle w:val="ListBullet"/>
        <w:spacing w:after="40"/>
        <w:ind w:left="360"/>
      </w:pPr>
      <w:r>
        <w:rPr>
          <w:color w:val="374151"/>
          <w:sz w:val="20"/>
        </w:rPr>
        <w:t>Benchmark maturity annually against CISA Zero Trust Maturity Model</w:t>
      </w:r>
    </w:p>
    <w:p>
      <w:pPr>
        <w:spacing w:after="40"/>
      </w:pPr>
    </w:p>
    <w:p>
      <w:pPr>
        <w:pBdr>
          <w:bottom w:val="single" w:sz="4" w:space="1" w:color="E5E7EB"/>
        </w:pBdr>
      </w:pPr>
    </w:p>
    <w:p>
      <w:pPr>
        <w:spacing w:after="40"/>
      </w:pPr>
    </w:p>
    <w:p>
      <w:pPr>
        <w:pStyle w:val="Heading2"/>
      </w:pPr>
      <w:r>
        <w:rPr>
          <w:color w:val="1D4ED8"/>
        </w:rPr>
        <w:t>Common Pitfalls and How to Avoid Them</w:t>
      </w:r>
    </w:p>
    <w:p>
      <w:pPr>
        <w:spacing w:after="40"/>
      </w:pPr>
    </w:p>
    <w:p>
      <w:pPr>
        <w:spacing w:after="80"/>
        <w:jc w:val="both"/>
      </w:pPr>
      <w:r>
        <w:rPr>
          <w:color w:val="374151"/>
          <w:sz w:val="20"/>
        </w:rPr>
        <w:t>Treating Zero Trust as a product, not a strategy: No single vendor delivers Zero Trust. It is an architectural philosophy that requires orchestrating identity, network, endpoint, application, and data controls.</w:t>
      </w:r>
    </w:p>
    <w:p>
      <w:pPr>
        <w:spacing w:after="40"/>
      </w:pPr>
    </w:p>
    <w:p>
      <w:pPr>
        <w:spacing w:after="80"/>
        <w:jc w:val="both"/>
      </w:pPr>
      <w:r>
        <w:rPr>
          <w:color w:val="374151"/>
          <w:sz w:val="20"/>
        </w:rPr>
        <w:t>Starting too broad: Begin with the highest-risk use cases — remote privileged access, cloud workloads, or crown-jewel applications — before attempting enterprise-wide rollout.</w:t>
      </w:r>
    </w:p>
    <w:p>
      <w:pPr>
        <w:spacing w:after="40"/>
      </w:pPr>
    </w:p>
    <w:p>
      <w:pPr>
        <w:spacing w:after="80"/>
        <w:jc w:val="both"/>
      </w:pPr>
      <w:r>
        <w:rPr>
          <w:color w:val="374151"/>
          <w:sz w:val="20"/>
        </w:rPr>
        <w:t>Neglecting the human element: Security awareness training and change management are as critical as the technology stack. User friction from poorly implemented MFA or ZTNA erodes adoption.</w:t>
      </w:r>
    </w:p>
    <w:p>
      <w:pPr>
        <w:spacing w:after="40"/>
      </w:pPr>
    </w:p>
    <w:p>
      <w:pPr>
        <w:spacing w:after="80"/>
        <w:jc w:val="both"/>
      </w:pPr>
      <w:r>
        <w:rPr>
          <w:color w:val="374151"/>
          <w:sz w:val="20"/>
        </w:rPr>
        <w:t>Underinvesting in telemetry: Zero Trust depends on rich, real-time telemetry. If your logging and SIEM capabilities are immature, address them before deploying advanced controls.</w:t>
      </w:r>
    </w:p>
    <w:p>
      <w:pPr>
        <w:spacing w:after="40"/>
      </w:pPr>
    </w:p>
    <w:p>
      <w:pPr>
        <w:pBdr>
          <w:bottom w:val="single" w:sz="4" w:space="1" w:color="E5E7EB"/>
        </w:pBdr>
      </w:pPr>
    </w:p>
    <w:p>
      <w:pPr>
        <w:spacing w:after="40"/>
      </w:pPr>
    </w:p>
    <w:p>
      <w:pPr>
        <w:pStyle w:val="Heading2"/>
      </w:pPr>
      <w:r>
        <w:rPr>
          <w:color w:val="1D4ED8"/>
        </w:rPr>
        <w:t>Conclusion</w:t>
      </w:r>
    </w:p>
    <w:p>
      <w:pPr>
        <w:spacing w:after="40"/>
      </w:pPr>
    </w:p>
    <w:p>
      <w:pPr>
        <w:spacing w:after="80"/>
        <w:jc w:val="both"/>
      </w:pPr>
      <w:r>
        <w:rPr>
          <w:color w:val="374151"/>
          <w:sz w:val="20"/>
        </w:rPr>
        <w:t>Zero Trust is not a destination — it is a continuous journey of reducing implicit trust and increasing verification rigor across your entire attack surface. CISOs who treat it as a strategic transformation program, rather than a point-in-time technology deployment, will build security architectures resilient enough to withstand modern adversaries.</w:t>
      </w:r>
    </w:p>
    <w:p>
      <w:pPr>
        <w:spacing w:after="40"/>
      </w:pPr>
    </w:p>
    <w:p>
      <w:pPr>
        <w:spacing w:after="80"/>
        <w:jc w:val="both"/>
      </w:pPr>
      <w:r>
        <w:rPr>
          <w:color w:val="374151"/>
          <w:sz w:val="20"/>
        </w:rPr>
        <w:t>The frameworks, tools, and roadmap outlined in this guide provide a pragmatic starting point. Align your next security planning cycle with the CISA Zero Trust Maturity Model, leverage NIST SP 800-207 as your technical blueprint, and measure progress against specific, auditable milestones.</w:t>
      </w:r>
    </w:p>
    <w:p>
      <w:pPr>
        <w:spacing w:after="40"/>
      </w:pPr>
    </w:p>
    <w:p>
      <w:pPr>
        <w:spacing w:after="80"/>
        <w:jc w:val="both"/>
      </w:pPr>
      <w:r>
        <w:rPr>
          <w:color w:val="374151"/>
          <w:sz w:val="20"/>
        </w:rPr>
        <w:t>Your adversaries are not standing still. Neither can your security strategy.</w:t>
      </w:r>
    </w:p>
    <w:p>
      <w:pPr>
        <w:spacing w:after="40"/>
      </w:pPr>
    </w:p>
    <w:p/>
    <w:p>
      <w:pPr>
        <w:jc w:val="center"/>
      </w:pPr>
      <w:r>
        <w:rPr>
          <w:i/>
          <w:color w:val="6B7280"/>
          <w:sz w:val="16"/>
        </w:rPr>
        <w:t>LLM-1: Groq · Llama 3.3 70B (Generator)  |  LLM-2: Claude Sonnet (Reviewer)</w:t>
      </w:r>
    </w:p>
    <w:sectPr w:rsidR="00FC693F" w:rsidRPr="0006063C" w:rsidSect="00034616">
      <w:pgSz w:w="12240" w:h="15840"/>
      <w:pgMar w:top="1224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