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48"/>
      </w:tblGrid>
      <w:tr>
        <w:tc>
          <w:tcPr>
            <w:tcW w:type="dxa" w:w="9648"/>
            <w:shd w:val="clear" w:color="auto" w:fill="0D1117"/>
          </w:tcPr>
          <w:p>
            <w:pPr>
              <w:spacing w:before="200"/>
              <w:ind w:left="288"/>
            </w:pPr>
            <w:r>
              <w:rPr>
                <w:b/>
                <w:color w:val="00C2FF"/>
                <w:sz w:val="18"/>
              </w:rPr>
              <w:t>BLOG POST</w:t>
            </w:r>
          </w:p>
          <w:p>
            <w:pPr>
              <w:ind w:left="288"/>
            </w:pPr>
            <w:r>
              <w:rPr>
                <w:b/>
                <w:color w:val="FFFFFF"/>
                <w:sz w:val="32"/>
              </w:rPr>
              <w:t>Cloud Security and Data Breaches</w:t>
            </w:r>
          </w:p>
          <w:p>
            <w:pPr>
              <w:spacing w:after="200"/>
              <w:ind w:left="288"/>
            </w:pPr>
            <w:r>
              <w:rPr>
                <w:b w:val="0"/>
                <w:color w:val="6B7280"/>
                <w:sz w:val="18"/>
              </w:rPr>
              <w:t>Audience: Security Leaders  |  20260531_210609</w:t>
            </w:r>
          </w:p>
        </w:tc>
      </w:tr>
    </w:tbl>
    <w:p/>
    <w:p>
      <w:pPr>
        <w:pStyle w:val="Heading2"/>
      </w:pPr>
      <w:r>
        <w:rPr>
          <w:color w:val="1D4ED8"/>
        </w:rPr>
        <w:t>Quality Assurance Report</w:t>
      </w:r>
    </w:p>
    <w:tbl>
      <w:tblPr>
        <w:tblStyle w:val="TableGrid"/>
        <w:tblW w:type="auto" w:w="0"/>
        <w:tblLook w:firstColumn="1" w:firstRow="1" w:lastColumn="0" w:lastRow="0" w:noHBand="0" w:noVBand="1" w:val="04A0"/>
      </w:tblPr>
      <w:tblGrid>
        <w:gridCol w:w="4824"/>
        <w:gridCol w:w="4824"/>
      </w:tblGrid>
      <w:tr>
        <w:tc>
          <w:tcPr>
            <w:tcW w:type="dxa" w:w="4824"/>
            <w:shd w:val="clear" w:color="auto" w:fill="0D1117"/>
          </w:tcPr>
          <w:p>
            <w:r>
              <w:rPr>
                <w:b/>
                <w:color w:val="FFFFFF"/>
                <w:sz w:val="18"/>
              </w:rPr>
              <w:t>Criteria</w:t>
            </w:r>
          </w:p>
        </w:tc>
        <w:tc>
          <w:tcPr>
            <w:tcW w:type="dxa" w:w="4824"/>
            <w:shd w:val="clear" w:color="auto" w:fill="0D1117"/>
          </w:tcPr>
          <w:p>
            <w:r>
              <w:rPr>
                <w:b/>
                <w:color w:val="FFFFFF"/>
                <w:sz w:val="18"/>
              </w:rPr>
              <w:t>Score/20</w:t>
            </w:r>
          </w:p>
        </w:tc>
      </w:tr>
      <w:tr>
        <w:tc>
          <w:tcPr>
            <w:tcW w:type="dxa" w:w="4824"/>
            <w:shd w:val="clear" w:color="auto" w:fill="F9FAFB"/>
          </w:tcPr>
          <w:p>
            <w:r>
              <w:rPr>
                <w:color w:val="374151"/>
                <w:sz w:val="18"/>
              </w:rPr>
              <w:t>Technical Accuracy</w:t>
            </w:r>
          </w:p>
        </w:tc>
        <w:tc>
          <w:tcPr>
            <w:tcW w:type="dxa" w:w="4824"/>
            <w:shd w:val="clear" w:color="auto" w:fill="F9FAFB"/>
          </w:tcPr>
          <w:p>
            <w:r>
              <w:rPr>
                <w:color w:val="374151"/>
                <w:sz w:val="18"/>
              </w:rPr>
              <w:t>19</w:t>
            </w:r>
          </w:p>
        </w:tc>
      </w:tr>
      <w:tr>
        <w:tc>
          <w:tcPr>
            <w:tcW w:type="dxa" w:w="4824"/>
            <w:shd w:val="clear" w:color="auto" w:fill="F9FAFB"/>
          </w:tcPr>
          <w:p>
            <w:r>
              <w:rPr>
                <w:color w:val="374151"/>
                <w:sz w:val="18"/>
              </w:rPr>
              <w:t>Relevance &amp; Value</w:t>
            </w:r>
          </w:p>
        </w:tc>
        <w:tc>
          <w:tcPr>
            <w:tcW w:type="dxa" w:w="4824"/>
            <w:shd w:val="clear" w:color="auto" w:fill="F9FAFB"/>
          </w:tcPr>
          <w:p>
            <w:r>
              <w:rPr>
                <w:color w:val="374151"/>
                <w:sz w:val="18"/>
              </w:rPr>
              <w:t>19</w:t>
            </w:r>
          </w:p>
        </w:tc>
      </w:tr>
      <w:tr>
        <w:tc>
          <w:tcPr>
            <w:tcW w:type="dxa" w:w="4824"/>
            <w:shd w:val="clear" w:color="auto" w:fill="F9FAFB"/>
          </w:tcPr>
          <w:p>
            <w:r>
              <w:rPr>
                <w:color w:val="374151"/>
                <w:sz w:val="18"/>
              </w:rPr>
              <w:t>SEO Compliance</w:t>
            </w:r>
          </w:p>
        </w:tc>
        <w:tc>
          <w:tcPr>
            <w:tcW w:type="dxa" w:w="4824"/>
            <w:shd w:val="clear" w:color="auto" w:fill="F9FAFB"/>
          </w:tcPr>
          <w:p>
            <w:r>
              <w:rPr>
                <w:color w:val="374151"/>
                <w:sz w:val="18"/>
              </w:rPr>
              <w:t>17</w:t>
            </w:r>
          </w:p>
        </w:tc>
      </w:tr>
      <w:tr>
        <w:tc>
          <w:tcPr>
            <w:tcW w:type="dxa" w:w="4824"/>
            <w:shd w:val="clear" w:color="auto" w:fill="F9FAFB"/>
          </w:tcPr>
          <w:p>
            <w:r>
              <w:rPr>
                <w:color w:val="374151"/>
                <w:sz w:val="18"/>
              </w:rPr>
              <w:t>Brand &amp; Tone</w:t>
            </w:r>
          </w:p>
        </w:tc>
        <w:tc>
          <w:tcPr>
            <w:tcW w:type="dxa" w:w="4824"/>
            <w:shd w:val="clear" w:color="auto" w:fill="F9FAFB"/>
          </w:tcPr>
          <w:p>
            <w:r>
              <w:rPr>
                <w:color w:val="374151"/>
                <w:sz w:val="18"/>
              </w:rPr>
              <w:t>18</w:t>
            </w:r>
          </w:p>
        </w:tc>
      </w:tr>
      <w:tr>
        <w:tc>
          <w:tcPr>
            <w:tcW w:type="dxa" w:w="4824"/>
            <w:shd w:val="clear" w:color="auto" w:fill="F9FAFB"/>
          </w:tcPr>
          <w:p>
            <w:r>
              <w:rPr>
                <w:color w:val="374151"/>
                <w:sz w:val="18"/>
              </w:rPr>
              <w:t>Quality &amp; Clarity</w:t>
            </w:r>
          </w:p>
        </w:tc>
        <w:tc>
          <w:tcPr>
            <w:tcW w:type="dxa" w:w="4824"/>
            <w:shd w:val="clear" w:color="auto" w:fill="F9FAFB"/>
          </w:tcPr>
          <w:p>
            <w:r>
              <w:rPr>
                <w:color w:val="374151"/>
                <w:sz w:val="18"/>
              </w:rPr>
              <w:t>19</w:t>
            </w:r>
          </w:p>
        </w:tc>
      </w:tr>
      <w:tr>
        <w:tc>
          <w:tcPr>
            <w:tcW w:type="dxa" w:w="4824"/>
            <w:shd w:val="clear" w:color="auto" w:fill="F9FAFB"/>
          </w:tcPr>
          <w:p>
            <w:r>
              <w:rPr>
                <w:color w:val="374151"/>
                <w:sz w:val="18"/>
              </w:rPr>
              <w:t>Total Score</w:t>
            </w:r>
          </w:p>
        </w:tc>
        <w:tc>
          <w:tcPr>
            <w:tcW w:type="dxa" w:w="4824"/>
            <w:shd w:val="clear" w:color="auto" w:fill="F9FAFB"/>
          </w:tcPr>
          <w:p>
            <w:r>
              <w:rPr>
                <w:color w:val="374151"/>
                <w:sz w:val="18"/>
              </w:rPr>
              <w:t>92/100</w:t>
            </w:r>
          </w:p>
        </w:tc>
      </w:tr>
      <w:tr>
        <w:tc>
          <w:tcPr>
            <w:tcW w:type="dxa" w:w="4824"/>
            <w:shd w:val="clear" w:color="auto" w:fill="F0FDF4"/>
          </w:tcPr>
          <w:p>
            <w:r>
              <w:rPr>
                <w:b/>
                <w:sz w:val="18"/>
              </w:rPr>
              <w:t>Status</w:t>
            </w:r>
          </w:p>
        </w:tc>
        <w:tc>
          <w:tcPr>
            <w:tcW w:type="dxa" w:w="4824"/>
            <w:shd w:val="clear" w:color="auto" w:fill="F0FDF4"/>
          </w:tcPr>
          <w:p>
            <w:r>
              <w:rPr>
                <w:b/>
                <w:color w:val="10B981"/>
                <w:sz w:val="18"/>
              </w:rPr>
              <w:t>APPROVED</w:t>
            </w:r>
          </w:p>
        </w:tc>
      </w:tr>
    </w:tbl>
    <w:p>
      <w:pPr>
        <w:spacing w:before="120"/>
      </w:pPr>
      <w:r>
        <w:rPr>
          <w:i/>
          <w:color w:val="6B7280"/>
          <w:sz w:val="18"/>
        </w:rPr>
        <w:t>Reviewer Notes: This is expert-level content that accurately maps cloud security controls to specific frameworks (NIST CSF 2.0 with the new Govern function, SP 800-53 control families, CIS Controls v8, CSA CCM v4) and correctly cites MITRE ATT&amp;CK Cloud technique IDs with appropriate detection guidance. Statistics are sourced and current (IBM 2024 USD 4.88M, Verizon DBIR 2024, Flexera 2024). The shared responsibil</w:t>
      </w:r>
    </w:p>
    <w:p/>
    <w:p>
      <w:pPr>
        <w:pStyle w:val="Heading1"/>
      </w:pPr>
      <w:r>
        <w:rPr>
          <w:color w:val="1D4ED8"/>
        </w:rPr>
        <w:t>A Security Leader's Guide to Cloud Security: Frameworks, Threats, and Governance</w:t>
      </w:r>
    </w:p>
    <w:p>
      <w:pPr>
        <w:spacing w:after="40"/>
      </w:pPr>
    </w:p>
    <w:p>
      <w:pPr>
        <w:spacing w:after="80"/>
        <w:jc w:val="both"/>
      </w:pPr>
      <w:r>
        <w:rPr>
          <w:color w:val="374151"/>
          <w:sz w:val="20"/>
        </w:rPr>
        <w:t>Cloud adoption is now the default operating model for the enterprise. Flexera's 2024 State of the Cloud Report found that the overwhelming majority of organizations run a multi-cloud strategy, and most workloads have migrated off traditional on-premises infrastructure. This shift expands the attack surface from a defined network perimeter to a distributed, API-driven, identity-centric environment that legacy controls were never designed to protect.</w:t>
      </w:r>
    </w:p>
    <w:p>
      <w:pPr>
        <w:spacing w:after="40"/>
      </w:pPr>
    </w:p>
    <w:p>
      <w:pPr>
        <w:spacing w:after="80"/>
        <w:jc w:val="both"/>
      </w:pPr>
      <w:r>
        <w:rPr>
          <w:color w:val="374151"/>
          <w:sz w:val="20"/>
        </w:rPr>
        <w:t>For security leaders, the strategic challenge is not whether to use the cloud, but how to govern shared accountability, quantify cloud-specific risk, and align controls to recognized frameworks in a way the board can understand and fund.</w:t>
      </w:r>
    </w:p>
    <w:p>
      <w:pPr>
        <w:spacing w:after="40"/>
      </w:pPr>
    </w:p>
    <w:p>
      <w:pPr>
        <w:pStyle w:val="Heading2"/>
      </w:pPr>
      <w:r>
        <w:rPr>
          <w:color w:val="1D4ED8"/>
        </w:rPr>
        <w:t>The Shared Responsibility Model: The Foundation of Cloud Governance</w:t>
      </w:r>
    </w:p>
    <w:p>
      <w:pPr>
        <w:spacing w:after="40"/>
      </w:pPr>
    </w:p>
    <w:p>
      <w:pPr>
        <w:spacing w:after="80"/>
        <w:jc w:val="both"/>
      </w:pPr>
      <w:r>
        <w:rPr>
          <w:color w:val="374151"/>
          <w:sz w:val="20"/>
        </w:rPr>
        <w:t>Every cloud security program must start with an explicit understanding of the shared responsibility model. The cloud service provider (CSP) secures the infrastructure of the cloud; the customer is responsible for security in the cloud. The dividing line moves by service model:</w:t>
      </w:r>
    </w:p>
    <w:p>
      <w:pPr>
        <w:spacing w:after="40"/>
      </w:pPr>
    </w:p>
    <w:p>
      <w:pPr>
        <w:pStyle w:val="ListBullet"/>
        <w:spacing w:after="40"/>
      </w:pPr>
      <w:r>
        <w:rPr>
          <w:color w:val="374151"/>
          <w:sz w:val="20"/>
        </w:rPr>
        <w:t>IaaS (e.g., EC2, Azure VMs): the customer owns OS hardening, patching, network configuration, identity, and data.</w:t>
      </w:r>
    </w:p>
    <w:p>
      <w:pPr>
        <w:pStyle w:val="ListBullet"/>
        <w:spacing w:after="40"/>
      </w:pPr>
      <w:r>
        <w:rPr>
          <w:color w:val="374151"/>
          <w:sz w:val="20"/>
        </w:rPr>
        <w:t>PaaS (e.g., managed databases, App Service): the customer owns identity, data, and application-layer configuration.</w:t>
      </w:r>
    </w:p>
    <w:p>
      <w:pPr>
        <w:pStyle w:val="ListBullet"/>
        <w:spacing w:after="40"/>
      </w:pPr>
      <w:r>
        <w:rPr>
          <w:color w:val="374151"/>
          <w:sz w:val="20"/>
        </w:rPr>
        <w:t>SaaS: the customer retains responsibility for identity, access governance, and data classification, even when the provider runs the stack.</w:t>
      </w:r>
    </w:p>
    <w:p>
      <w:pPr>
        <w:spacing w:after="40"/>
      </w:pPr>
    </w:p>
    <w:p>
      <w:pPr>
        <w:spacing w:after="80"/>
        <w:jc w:val="both"/>
      </w:pPr>
      <w:r>
        <w:rPr>
          <w:color w:val="374151"/>
          <w:sz w:val="20"/>
        </w:rPr>
        <w:t>A large share of cloud breaches stem from customer-side misconfiguration, not provider failure — a pattern Gartner has long summarized in its guidance that the customer is responsible for the majority of cloud security failures through 2025. NIST SP 800-144 (Guidelines on Security and Privacy in Public Cloud Computing) provides the canonical articulation of where these responsibility boundaries fall and should anchor your cloud governance policy.</w:t>
      </w:r>
    </w:p>
    <w:p>
      <w:pPr>
        <w:spacing w:after="40"/>
      </w:pPr>
    </w:p>
    <w:p>
      <w:pPr>
        <w:pStyle w:val="Heading2"/>
      </w:pPr>
      <w:r>
        <w:rPr>
          <w:color w:val="1D4ED8"/>
        </w:rPr>
        <w:t>Quantifying the Risk for the Board</w:t>
      </w:r>
    </w:p>
    <w:p>
      <w:pPr>
        <w:spacing w:after="40"/>
      </w:pPr>
    </w:p>
    <w:p>
      <w:pPr>
        <w:spacing w:after="80"/>
        <w:jc w:val="both"/>
      </w:pPr>
      <w:r>
        <w:rPr>
          <w:color w:val="374151"/>
          <w:sz w:val="20"/>
        </w:rPr>
        <w:t>Translate cloud risk into financial terms leaders can act on:</w:t>
      </w:r>
    </w:p>
    <w:p>
      <w:pPr>
        <w:spacing w:after="40"/>
      </w:pPr>
    </w:p>
    <w:p>
      <w:pPr>
        <w:pStyle w:val="ListBullet"/>
        <w:spacing w:after="40"/>
      </w:pPr>
      <w:r>
        <w:rPr>
          <w:color w:val="374151"/>
          <w:sz w:val="20"/>
        </w:rPr>
        <w:t>IBM's *Cost of a Data Breach Report 2024* puts the global average breach cost at USD 4.88 million, the highest on record. Breaches involving data stored across multiple environments and breaches where attackers used stolen or compromised credentials are consistently among the most expensive and slowest to contain.</w:t>
      </w:r>
    </w:p>
    <w:p>
      <w:pPr>
        <w:pStyle w:val="ListBullet"/>
        <w:spacing w:after="40"/>
      </w:pPr>
      <w:r>
        <w:rPr>
          <w:color w:val="374151"/>
          <w:sz w:val="20"/>
        </w:rPr>
        <w:t>Compromised credentials remain a leading initial access vector, and the *Verizon 2024 Data Breach Investigations Report* (DBIR) continues to rank the human element and stolen credentials among the most common contributors to breaches.</w:t>
      </w:r>
    </w:p>
    <w:p>
      <w:pPr>
        <w:spacing w:after="40"/>
      </w:pPr>
    </w:p>
    <w:p>
      <w:pPr>
        <w:spacing w:after="80"/>
        <w:jc w:val="both"/>
      </w:pPr>
      <w:r>
        <w:rPr>
          <w:color w:val="374151"/>
          <w:sz w:val="20"/>
        </w:rPr>
        <w:t>Use a quantitative method such as FAIR (Factor Analysis of Information Risk) to express cloud exposure as annualized loss expectancy rather than heat-map colors. Report to the board on: (1) percentage of cloud workloads meeting your hardening baseline, (2) mean time to detect/respond for cloud incidents, (3) percentage of privileged identities with MFA and just-in-time access, and (4) residual risk in dollars after controls.</w:t>
      </w:r>
    </w:p>
    <w:p>
      <w:pPr>
        <w:spacing w:after="40"/>
      </w:pPr>
    </w:p>
    <w:p>
      <w:pPr>
        <w:pStyle w:val="Heading2"/>
      </w:pPr>
      <w:r>
        <w:rPr>
          <w:color w:val="1D4ED8"/>
        </w:rPr>
        <w:t>Cloud Threats Mapped to MITRE ATT&amp;CK</w:t>
      </w:r>
    </w:p>
    <w:p>
      <w:pPr>
        <w:spacing w:after="40"/>
      </w:pPr>
    </w:p>
    <w:p>
      <w:pPr>
        <w:spacing w:after="80"/>
        <w:jc w:val="both"/>
      </w:pPr>
      <w:r>
        <w:rPr>
          <w:color w:val="374151"/>
          <w:sz w:val="20"/>
        </w:rPr>
        <w:t>The MITRE ATT&amp;CK Cloud Matrix provides a common language for describing how adversaries operate against IaaS, SaaS, and identity platforms. Prioritize defenses against the techniques most relevant to cloud:</w:t>
      </w:r>
    </w:p>
    <w:p>
      <w:pPr>
        <w:spacing w:after="40"/>
      </w:pPr>
    </w:p>
    <w:p>
      <w:pPr>
        <w:pStyle w:val="Heading3"/>
      </w:pPr>
      <w:r>
        <w:rPr>
          <w:sz w:val="22"/>
        </w:rPr>
        <w:t>Identity and access compromise</w:t>
      </w:r>
    </w:p>
    <w:p>
      <w:pPr>
        <w:pStyle w:val="ListBullet"/>
        <w:spacing w:after="40"/>
      </w:pPr>
      <w:r>
        <w:rPr>
          <w:color w:val="374151"/>
          <w:sz w:val="20"/>
        </w:rPr>
        <w:t>T1078 Valid Accounts, especially T1078.004 (Cloud Accounts) — adversaries authenticate with legitimate stolen credentials, bypassing perimeter defenses. *Detection:* impossible-travel logins, anomalous IP/ASN, MFA fatigue patterns, and sign-ins from unmanaged devices in your IdP and CloudTrail/Azure AD (Entra) sign-in logs.</w:t>
      </w:r>
    </w:p>
    <w:p>
      <w:pPr>
        <w:pStyle w:val="ListBullet"/>
        <w:spacing w:after="40"/>
      </w:pPr>
      <w:r>
        <w:rPr>
          <w:color w:val="374151"/>
          <w:sz w:val="20"/>
        </w:rPr>
        <w:t>T1098 Account Manipulation and T1098.001 (Additional Cloud Credentials) — attackers attach new access keys or service principal secrets for persistence. *Detection:* alert on creation of access keys, OAuth app consent grants, and federation/trust changes.</w:t>
      </w:r>
    </w:p>
    <w:p>
      <w:pPr>
        <w:spacing w:after="40"/>
      </w:pPr>
    </w:p>
    <w:p>
      <w:pPr>
        <w:pStyle w:val="Heading3"/>
      </w:pPr>
      <w:r>
        <w:rPr>
          <w:sz w:val="22"/>
        </w:rPr>
        <w:t>Data exposure and exfiltration</w:t>
      </w:r>
    </w:p>
    <w:p>
      <w:pPr>
        <w:pStyle w:val="ListBullet"/>
        <w:spacing w:after="40"/>
      </w:pPr>
      <w:r>
        <w:rPr>
          <w:color w:val="374151"/>
          <w:sz w:val="20"/>
        </w:rPr>
        <w:t>T1530 Data from Cloud Storage — enumeration and access of object storage (S3, Blob, GCS). *Detection:* alert on public bucket/object ACL changes, anomalous `GetObject`/`ListBucket` volumes, and access from new principals.</w:t>
      </w:r>
    </w:p>
    <w:p>
      <w:pPr>
        <w:pStyle w:val="ListBullet"/>
        <w:spacing w:after="40"/>
      </w:pPr>
      <w:r>
        <w:rPr>
          <w:color w:val="374151"/>
          <w:sz w:val="20"/>
        </w:rPr>
        <w:t>T1537 Transfer Data to Cloud Account — exfiltration to an attacker-controlled tenant.</w:t>
      </w:r>
    </w:p>
    <w:p>
      <w:pPr>
        <w:spacing w:after="40"/>
      </w:pPr>
    </w:p>
    <w:p>
      <w:pPr>
        <w:pStyle w:val="Heading3"/>
      </w:pPr>
      <w:r>
        <w:rPr>
          <w:sz w:val="22"/>
        </w:rPr>
        <w:t>Defense evasion and privilege escalation</w:t>
      </w:r>
    </w:p>
    <w:p>
      <w:pPr>
        <w:pStyle w:val="ListBullet"/>
        <w:spacing w:after="40"/>
      </w:pPr>
      <w:r>
        <w:rPr>
          <w:color w:val="374151"/>
          <w:sz w:val="20"/>
        </w:rPr>
        <w:t>T1562.008 Impair Defenses: Disable or Modify Cloud Logs — disabling CloudTrail or diagnostic logging. *Detection:* monitor for `StopLogging`, `DeleteTrail`, and logging-configuration changes as high-severity events.</w:t>
      </w:r>
    </w:p>
    <w:p>
      <w:pPr>
        <w:pStyle w:val="ListBullet"/>
        <w:spacing w:after="40"/>
      </w:pPr>
      <w:r>
        <w:rPr>
          <w:color w:val="374151"/>
          <w:sz w:val="20"/>
        </w:rPr>
        <w:t>T1098.003 Additional Cloud Roles and IAM policy modification — privilege escalation through over-permissive roles.</w:t>
      </w:r>
    </w:p>
    <w:p>
      <w:pPr>
        <w:spacing w:after="40"/>
      </w:pPr>
    </w:p>
    <w:p>
      <w:pPr>
        <w:spacing w:after="80"/>
        <w:jc w:val="both"/>
      </w:pPr>
      <w:r>
        <w:rPr>
          <w:color w:val="374151"/>
          <w:sz w:val="20"/>
        </w:rPr>
        <w:t>Run purple-team exercises against these technique IDs and track detection coverage as a measurable KPI.</w:t>
      </w:r>
    </w:p>
    <w:p>
      <w:pPr>
        <w:spacing w:after="40"/>
      </w:pPr>
    </w:p>
    <w:p>
      <w:pPr>
        <w:pStyle w:val="Heading2"/>
      </w:pPr>
      <w:r>
        <w:rPr>
          <w:color w:val="1D4ED8"/>
        </w:rPr>
        <w:t>Mapping Controls to Frameworks</w:t>
      </w:r>
    </w:p>
    <w:p>
      <w:pPr>
        <w:spacing w:after="40"/>
      </w:pPr>
    </w:p>
    <w:p>
      <w:pPr>
        <w:spacing w:after="80"/>
        <w:jc w:val="both"/>
      </w:pPr>
      <w:r>
        <w:rPr>
          <w:color w:val="374151"/>
          <w:sz w:val="20"/>
        </w:rPr>
        <w:t>Avoid naming frameworks generically; map each control to a specific reference so audits and gap analyses are defensible.</w:t>
      </w:r>
    </w:p>
    <w:p>
      <w:pPr>
        <w:spacing w:after="40"/>
      </w:pPr>
    </w:p>
    <w:p>
      <w:pPr>
        <w:pStyle w:val="Heading3"/>
      </w:pPr>
      <w:r>
        <w:rPr>
          <w:sz w:val="22"/>
        </w:rPr>
        <w:t>NIST Cybersecurity Framework (CSF) 2.0</w:t>
      </w:r>
    </w:p>
    <w:p>
      <w:pPr>
        <w:spacing w:after="80"/>
        <w:jc w:val="both"/>
      </w:pPr>
      <w:r>
        <w:rPr>
          <w:color w:val="374151"/>
          <w:sz w:val="20"/>
        </w:rPr>
        <w:t>Anchor program governance to CSF 2.0, which adds the Govern (GV) function alongside Identify, Protect, Detect, Respond, and Recover. Useful subcategory anchors:</w:t>
      </w:r>
    </w:p>
    <w:p>
      <w:pPr>
        <w:pStyle w:val="ListBullet"/>
        <w:spacing w:after="40"/>
      </w:pPr>
      <w:r>
        <w:rPr>
          <w:color w:val="374151"/>
          <w:sz w:val="20"/>
        </w:rPr>
        <w:t>GV.RR / GV.OC — establish cloud risk ownership and shared-responsibility expectations.</w:t>
      </w:r>
    </w:p>
    <w:p>
      <w:pPr>
        <w:pStyle w:val="ListBullet"/>
        <w:spacing w:after="40"/>
      </w:pPr>
      <w:r>
        <w:rPr>
          <w:color w:val="374151"/>
          <w:sz w:val="20"/>
        </w:rPr>
        <w:t>PR.AA (Identity Management, Authentication, and Access Control) — enforce least privilege and strong authentication for cloud identities.</w:t>
      </w:r>
    </w:p>
    <w:p>
      <w:pPr>
        <w:pStyle w:val="ListBullet"/>
        <w:spacing w:after="40"/>
      </w:pPr>
      <w:r>
        <w:rPr>
          <w:color w:val="374151"/>
          <w:sz w:val="20"/>
        </w:rPr>
        <w:t>DE.CM (Continuous Monitoring) — collect and analyze cloud control-plane and data-plane telemetry.</w:t>
      </w:r>
    </w:p>
    <w:p>
      <w:pPr>
        <w:spacing w:after="40"/>
      </w:pPr>
    </w:p>
    <w:p>
      <w:pPr>
        <w:pStyle w:val="Heading3"/>
      </w:pPr>
      <w:r>
        <w:rPr>
          <w:sz w:val="22"/>
        </w:rPr>
        <w:t>NIST SP 800-53 control families</w:t>
      </w:r>
    </w:p>
    <w:p>
      <w:pPr>
        <w:spacing w:after="80"/>
        <w:jc w:val="both"/>
      </w:pPr>
      <w:r>
        <w:rPr>
          <w:color w:val="374151"/>
          <w:sz w:val="20"/>
        </w:rPr>
        <w:t>Implement cloud-relevant control families and select the appropriate baseline (Low/Moderate/High):</w:t>
      </w:r>
    </w:p>
    <w:p>
      <w:pPr>
        <w:pStyle w:val="ListBullet"/>
        <w:spacing w:after="40"/>
      </w:pPr>
      <w:r>
        <w:rPr>
          <w:color w:val="374151"/>
          <w:sz w:val="20"/>
        </w:rPr>
        <w:t>AC (Access Control) — AC-2 account management, AC-3 access enforcement, AC-6 least privilege.</w:t>
      </w:r>
    </w:p>
    <w:p>
      <w:pPr>
        <w:pStyle w:val="ListBullet"/>
        <w:spacing w:after="40"/>
      </w:pPr>
      <w:r>
        <w:rPr>
          <w:color w:val="374151"/>
          <w:sz w:val="20"/>
        </w:rPr>
        <w:t>IA (Identification and Authentication) — IA-2 MFA for privileged and remote access.</w:t>
      </w:r>
    </w:p>
    <w:p>
      <w:pPr>
        <w:pStyle w:val="ListBullet"/>
        <w:spacing w:after="40"/>
      </w:pPr>
      <w:r>
        <w:rPr>
          <w:color w:val="374151"/>
          <w:sz w:val="20"/>
        </w:rPr>
        <w:t>AU (Audit and Accountability) — AU-2/AU-6 enable and review cloud audit logs (defeating T1562.008).</w:t>
      </w:r>
    </w:p>
    <w:p>
      <w:pPr>
        <w:pStyle w:val="ListBullet"/>
        <w:spacing w:after="40"/>
      </w:pPr>
      <w:r>
        <w:rPr>
          <w:color w:val="374151"/>
          <w:sz w:val="20"/>
        </w:rPr>
        <w:t>SC (System and Communications Protection) — SC-12/SC-13/SC-28 cryptographic key management and encryption at rest/in transit.</w:t>
      </w:r>
    </w:p>
    <w:p>
      <w:pPr>
        <w:spacing w:after="40"/>
      </w:pPr>
    </w:p>
    <w:p>
      <w:pPr>
        <w:pStyle w:val="Heading3"/>
      </w:pPr>
      <w:r>
        <w:rPr>
          <w:sz w:val="22"/>
        </w:rPr>
        <w:t>CIS Controls v8 (mapped to specific control numbers)</w:t>
      </w:r>
    </w:p>
    <w:p>
      <w:pPr>
        <w:pStyle w:val="ListBullet"/>
        <w:spacing w:after="40"/>
      </w:pPr>
      <w:r>
        <w:rPr>
          <w:color w:val="374151"/>
          <w:sz w:val="20"/>
        </w:rPr>
        <w:t>CIS Control 1 &amp; 2 — Inventory of enterprise assets and software, extended to cloud instances and SaaS apps.</w:t>
      </w:r>
    </w:p>
    <w:p>
      <w:pPr>
        <w:pStyle w:val="ListBullet"/>
        <w:spacing w:after="40"/>
      </w:pPr>
      <w:r>
        <w:rPr>
          <w:color w:val="374151"/>
          <w:sz w:val="20"/>
        </w:rPr>
        <w:t>CIS Control 3 — Data Protection (classification, encryption, retention).</w:t>
      </w:r>
    </w:p>
    <w:p>
      <w:pPr>
        <w:pStyle w:val="ListBullet"/>
        <w:spacing w:after="40"/>
      </w:pPr>
      <w:r>
        <w:rPr>
          <w:color w:val="374151"/>
          <w:sz w:val="20"/>
        </w:rPr>
        <w:t>CIS Control 4 — Secure Configuration of enterprise assets and software (your hardening baseline).</w:t>
      </w:r>
    </w:p>
    <w:p>
      <w:pPr>
        <w:pStyle w:val="ListBullet"/>
        <w:spacing w:after="40"/>
      </w:pPr>
      <w:r>
        <w:rPr>
          <w:color w:val="374151"/>
          <w:sz w:val="20"/>
        </w:rPr>
        <w:t>CIS Control 5 &amp; 6 — Account Management and Access Control Management (MFA, least privilege, RBAC).</w:t>
      </w:r>
    </w:p>
    <w:p>
      <w:pPr>
        <w:pStyle w:val="ListBullet"/>
        <w:spacing w:after="40"/>
      </w:pPr>
      <w:r>
        <w:rPr>
          <w:color w:val="374151"/>
          <w:sz w:val="20"/>
        </w:rPr>
        <w:t>CIS Control 7 — Continuous Vulnerability Management.</w:t>
      </w:r>
    </w:p>
    <w:p>
      <w:pPr>
        <w:pStyle w:val="ListBullet"/>
        <w:spacing w:after="40"/>
      </w:pPr>
      <w:r>
        <w:rPr>
          <w:color w:val="374151"/>
          <w:sz w:val="20"/>
        </w:rPr>
        <w:t>CIS Control 8 — Audit Log Management.</w:t>
      </w:r>
    </w:p>
    <w:p>
      <w:pPr>
        <w:spacing w:after="40"/>
      </w:pPr>
    </w:p>
    <w:p>
      <w:pPr>
        <w:spacing w:after="80"/>
        <w:jc w:val="both"/>
      </w:pPr>
      <w:r>
        <w:rPr>
          <w:color w:val="374151"/>
          <w:sz w:val="20"/>
        </w:rPr>
        <w:t>The CIS Benchmarks for AWS, Azure, and GCP give configuration-specific, auditable checks you can enforce automatically.</w:t>
      </w:r>
    </w:p>
    <w:p>
      <w:pPr>
        <w:spacing w:after="40"/>
      </w:pPr>
    </w:p>
    <w:p>
      <w:pPr>
        <w:pStyle w:val="Heading3"/>
      </w:pPr>
      <w:r>
        <w:rPr>
          <w:sz w:val="22"/>
        </w:rPr>
        <w:t>Cloud Security Alliance (CSA) Cloud Controls Matrix (CCM)</w:t>
      </w:r>
    </w:p>
    <w:p>
      <w:pPr>
        <w:spacing w:after="80"/>
        <w:jc w:val="both"/>
      </w:pPr>
      <w:r>
        <w:rPr>
          <w:color w:val="374151"/>
          <w:sz w:val="20"/>
        </w:rPr>
        <w:t>Use the CSA CCM v4 as your cloud-native control framework and CAIQ for vendor due diligence. CCM domains such as IAM (Identity &amp; Access Management), DSP (Data Security &amp; Privacy Lifecycle), and IVS (Infrastructure &amp; Virtualization Security) cross-map to ISO/IEC 27001 Annex A, NIST 800-53, and PCI DSS, reducing duplicate compliance effort.</w:t>
      </w:r>
    </w:p>
    <w:p>
      <w:pPr>
        <w:spacing w:after="40"/>
      </w:pPr>
    </w:p>
    <w:p>
      <w:pPr>
        <w:pStyle w:val="Heading2"/>
      </w:pPr>
      <w:r>
        <w:rPr>
          <w:color w:val="1D4ED8"/>
        </w:rPr>
        <w:t>Strategic Priorities and Tooling</w:t>
      </w:r>
    </w:p>
    <w:p>
      <w:pPr>
        <w:spacing w:after="40"/>
      </w:pPr>
    </w:p>
    <w:p>
      <w:pPr>
        <w:pStyle w:val="Heading3"/>
      </w:pPr>
      <w:r>
        <w:rPr>
          <w:sz w:val="22"/>
        </w:rPr>
        <w:t>Enforce Zero Trust per NIST SP 800-207</w:t>
      </w:r>
    </w:p>
    <w:p>
      <w:pPr>
        <w:spacing w:after="80"/>
        <w:jc w:val="both"/>
      </w:pPr>
      <w:r>
        <w:rPr>
          <w:color w:val="374151"/>
          <w:sz w:val="20"/>
        </w:rPr>
        <w:t>Adopt a zero-trust architecture in which no user, device, or workload is implicitly trusted. Per NIST SP 800-207, enforce per-request access decisions through a policy decision/enforcement point, anchored on strong identity. Concrete steps:</w:t>
      </w:r>
    </w:p>
    <w:p>
      <w:pPr>
        <w:pStyle w:val="ListBullet"/>
        <w:spacing w:after="40"/>
      </w:pPr>
      <w:r>
        <w:rPr>
          <w:color w:val="374151"/>
          <w:sz w:val="20"/>
        </w:rPr>
        <w:t>Require phishing-resistant MFA (FIDO2/WebAuthn) for all privileged and remote access.</w:t>
      </w:r>
    </w:p>
    <w:p>
      <w:pPr>
        <w:pStyle w:val="ListBullet"/>
        <w:spacing w:after="40"/>
      </w:pPr>
      <w:r>
        <w:rPr>
          <w:color w:val="374151"/>
          <w:sz w:val="20"/>
        </w:rPr>
        <w:t>Implement just-in-time, time-bound privileged access to shrink standing entitlements that fuel T1078.004 and T1098.</w:t>
      </w:r>
    </w:p>
    <w:p>
      <w:pPr>
        <w:spacing w:after="40"/>
      </w:pPr>
    </w:p>
    <w:p>
      <w:pPr>
        <w:pStyle w:val="Heading3"/>
      </w:pPr>
      <w:r>
        <w:rPr>
          <w:sz w:val="22"/>
        </w:rPr>
        <w:t>Deploy CSPM and CIEM</w:t>
      </w:r>
    </w:p>
    <w:p>
      <w:pPr>
        <w:pStyle w:val="ListBullet"/>
        <w:spacing w:after="40"/>
      </w:pPr>
      <w:r>
        <w:rPr>
          <w:color w:val="374151"/>
          <w:sz w:val="20"/>
        </w:rPr>
        <w:t>Cloud Security Posture Management (CSPM) continuously evaluates configuration against CIS Benchmarks and detects public-storage and logging-disabled misconfigurations (mitigating T1530 and T1562.008).</w:t>
      </w:r>
    </w:p>
    <w:p>
      <w:pPr>
        <w:pStyle w:val="ListBullet"/>
        <w:spacing w:after="40"/>
      </w:pPr>
      <w:r>
        <w:rPr>
          <w:color w:val="374151"/>
          <w:sz w:val="20"/>
        </w:rPr>
        <w:t>Cloud Infrastructure Entitlement Management (CIEM) discovers and right-sizes IAM entitlements to eliminate over-permissioned roles — the primary enabler of cloud privilege escalation.</w:t>
      </w:r>
    </w:p>
    <w:p>
      <w:pPr>
        <w:pStyle w:val="ListBullet"/>
        <w:spacing w:after="40"/>
      </w:pPr>
      <w:r>
        <w:rPr>
          <w:color w:val="374151"/>
          <w:sz w:val="20"/>
        </w:rPr>
        <w:t>Where workloads run containers and serverless, add a CNAPP/CWPP for runtime protection.</w:t>
      </w:r>
    </w:p>
    <w:p>
      <w:pPr>
        <w:spacing w:after="40"/>
      </w:pPr>
    </w:p>
    <w:p>
      <w:pPr>
        <w:pStyle w:val="Heading3"/>
      </w:pPr>
      <w:r>
        <w:rPr>
          <w:sz w:val="22"/>
        </w:rPr>
        <w:t>Encrypt and manage keys deliberately</w:t>
      </w:r>
    </w:p>
    <w:p>
      <w:pPr>
        <w:spacing w:after="80"/>
        <w:jc w:val="both"/>
      </w:pPr>
      <w:r>
        <w:rPr>
          <w:color w:val="374151"/>
          <w:sz w:val="20"/>
        </w:rPr>
        <w:t>Encrypt data in transit (TLS 1.2+) and at rest, and own your key lifecycle through a CSP KMS or external HSM. Map this to SC-12/SC-13/SC-28 and CIS Control 3.</w:t>
      </w:r>
    </w:p>
    <w:p>
      <w:pPr>
        <w:spacing w:after="40"/>
      </w:pPr>
    </w:p>
    <w:p>
      <w:pPr>
        <w:pStyle w:val="Heading3"/>
      </w:pPr>
      <w:r>
        <w:rPr>
          <w:sz w:val="22"/>
        </w:rPr>
        <w:t>Centralize cloud detection and response</w:t>
      </w:r>
    </w:p>
    <w:p>
      <w:pPr>
        <w:spacing w:after="80"/>
        <w:jc w:val="both"/>
      </w:pPr>
      <w:r>
        <w:rPr>
          <w:color w:val="374151"/>
          <w:sz w:val="20"/>
        </w:rPr>
        <w:t>Stream CloudTrail, Azure/Entra sign-in and audit logs, and GCP Cloud Audit Logs into a SIEM with detections written against the ATT&amp;CK Cloud technique IDs above. Define cloud-specific runbooks in your incident response plan (NIST SP 800-61) covering credential revocation, key rotation, and session termination.</w:t>
      </w:r>
    </w:p>
    <w:p>
      <w:pPr>
        <w:spacing w:after="40"/>
      </w:pPr>
    </w:p>
    <w:p>
      <w:pPr>
        <w:pStyle w:val="Heading3"/>
      </w:pPr>
      <w:r>
        <w:rPr>
          <w:sz w:val="22"/>
        </w:rPr>
        <w:t>Govern continuously</w:t>
      </w:r>
    </w:p>
    <w:p>
      <w:pPr>
        <w:pStyle w:val="ListBullet"/>
        <w:spacing w:after="40"/>
      </w:pPr>
      <w:r>
        <w:rPr>
          <w:color w:val="374151"/>
          <w:sz w:val="20"/>
        </w:rPr>
        <w:t>Conduct regular configuration and access reviews and independent assessments, mapping findings to CCM and 800-53 control gaps.</w:t>
      </w:r>
    </w:p>
    <w:p>
      <w:pPr>
        <w:pStyle w:val="ListBullet"/>
        <w:spacing w:after="40"/>
      </w:pPr>
      <w:r>
        <w:rPr>
          <w:color w:val="374151"/>
          <w:sz w:val="20"/>
        </w:rPr>
        <w:t>Embed cloud security requirements into procurement via CAIQ and contractual SLAs.</w:t>
      </w:r>
    </w:p>
    <w:p>
      <w:pPr>
        <w:pStyle w:val="ListBullet"/>
        <w:spacing w:after="40"/>
      </w:pPr>
      <w:r>
        <w:rPr>
          <w:color w:val="374151"/>
          <w:sz w:val="20"/>
        </w:rPr>
        <w:t>Deliver role-based security awareness training, including secure-by-default cloud development practices for engineering teams.</w:t>
      </w:r>
    </w:p>
    <w:p>
      <w:pPr>
        <w:spacing w:after="40"/>
      </w:pPr>
    </w:p>
    <w:p>
      <w:pPr>
        <w:pStyle w:val="Heading2"/>
      </w:pPr>
      <w:r>
        <w:rPr>
          <w:color w:val="1D4ED8"/>
        </w:rPr>
        <w:t>Conclusion</w:t>
      </w:r>
    </w:p>
    <w:p>
      <w:pPr>
        <w:spacing w:after="40"/>
      </w:pPr>
    </w:p>
    <w:p>
      <w:pPr>
        <w:spacing w:after="80"/>
        <w:jc w:val="both"/>
      </w:pPr>
      <w:r>
        <w:rPr>
          <w:color w:val="374151"/>
          <w:sz w:val="20"/>
        </w:rPr>
        <w:t>Cloud security is a governance discipline as much as a technical one. The breach economics are unambiguous — IBM's 2024 Cost of a Data Breach Report puts the global average at USD 4.88 million, and credential- and misconfiguration-driven incidents dominate the most costly outcomes. Security leaders who succeed will: define shared responsibility explicitly (NIST SP 800-144), map every control to specific framework references (NIST CSF 2.0, 800-53, CIS Controls v8, CSA CCM), defend against named adversary techniques in the MITRE ATT&amp;CK Cloud Matrix, and quantify residual risk in financial terms the board can govern. Treating cloud security as a measurable, framework-aligned program — not a checklist — is what protects the confidentiality, integrity, and availability of enterprise data at cloud scale.</w:t>
      </w:r>
    </w:p>
    <w:p/>
    <w:p>
      <w:pPr>
        <w:jc w:val="center"/>
      </w:pPr>
      <w:r>
        <w:rPr>
          <w:i/>
          <w:color w:val="6B7280"/>
          <w:sz w:val="16"/>
        </w:rPr>
        <w:t>LLM-1: Groq Llama 3.3 70B (Generator)  |  LLM-2: Claude Sonnet (Reviewer)</w:t>
      </w:r>
    </w:p>
    <w:sectPr w:rsidR="00FC693F" w:rsidRPr="0006063C"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