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48"/>
      </w:tblGrid>
      <w:tr>
        <w:tc>
          <w:tcPr>
            <w:tcW w:type="dxa" w:w="9648"/>
            <w:shd w:val="clear" w:color="auto" w:fill="0D1117"/>
          </w:tcPr>
          <w:p>
            <w:pPr>
              <w:spacing w:before="200"/>
              <w:ind w:left="288"/>
            </w:pPr>
            <w:r>
              <w:rPr>
                <w:b/>
                <w:color w:val="00C2FF"/>
                <w:sz w:val="18"/>
              </w:rPr>
              <w:t>BLOG POST</w:t>
            </w:r>
          </w:p>
          <w:p>
            <w:pPr>
              <w:ind w:left="288"/>
            </w:pPr>
            <w:r>
              <w:rPr>
                <w:b/>
                <w:color w:val="FFFFFF"/>
                <w:sz w:val="32"/>
              </w:rPr>
              <w:t>Cybersecurity Leadership and Strategy</w:t>
            </w:r>
          </w:p>
          <w:p>
            <w:pPr>
              <w:spacing w:after="200"/>
              <w:ind w:left="288"/>
            </w:pPr>
            <w:r>
              <w:rPr>
                <w:b w:val="0"/>
                <w:color w:val="6B7280"/>
                <w:sz w:val="18"/>
              </w:rPr>
              <w:t>Audience: Security Leaders  |  20260601_120434</w:t>
            </w:r>
          </w:p>
        </w:tc>
      </w:tr>
    </w:tbl>
    <w:p/>
    <w:p>
      <w:pPr>
        <w:pStyle w:val="Heading2"/>
      </w:pPr>
      <w:r>
        <w:rPr>
          <w:color w:val="1D4ED8"/>
        </w:rPr>
        <w:t>Quality Assurance Report</w:t>
      </w:r>
    </w:p>
    <w:tbl>
      <w:tblPr>
        <w:tblStyle w:val="TableGrid"/>
        <w:tblW w:type="auto" w:w="0"/>
        <w:tblLook w:firstColumn="1" w:firstRow="1" w:lastColumn="0" w:lastRow="0" w:noHBand="0" w:noVBand="1" w:val="04A0"/>
      </w:tblPr>
      <w:tblGrid>
        <w:gridCol w:w="4824"/>
        <w:gridCol w:w="4824"/>
      </w:tblGrid>
      <w:tr>
        <w:tc>
          <w:tcPr>
            <w:tcW w:type="dxa" w:w="4824"/>
            <w:shd w:val="clear" w:color="auto" w:fill="0D1117"/>
          </w:tcPr>
          <w:p>
            <w:r>
              <w:rPr>
                <w:b/>
                <w:color w:val="FFFFFF"/>
                <w:sz w:val="18"/>
              </w:rPr>
              <w:t>Criteria</w:t>
            </w:r>
          </w:p>
        </w:tc>
        <w:tc>
          <w:tcPr>
            <w:tcW w:type="dxa" w:w="4824"/>
            <w:shd w:val="clear" w:color="auto" w:fill="0D1117"/>
          </w:tcPr>
          <w:p>
            <w:r>
              <w:rPr>
                <w:b/>
                <w:color w:val="FFFFFF"/>
                <w:sz w:val="18"/>
              </w:rPr>
              <w:t>Score/20</w:t>
            </w:r>
          </w:p>
        </w:tc>
      </w:tr>
      <w:tr>
        <w:tc>
          <w:tcPr>
            <w:tcW w:type="dxa" w:w="4824"/>
            <w:shd w:val="clear" w:color="auto" w:fill="F9FAFB"/>
          </w:tcPr>
          <w:p>
            <w:r>
              <w:rPr>
                <w:color w:val="374151"/>
                <w:sz w:val="18"/>
              </w:rPr>
              <w:t>Technical Accuracy</w:t>
            </w:r>
          </w:p>
        </w:tc>
        <w:tc>
          <w:tcPr>
            <w:tcW w:type="dxa" w:w="4824"/>
            <w:shd w:val="clear" w:color="auto" w:fill="F9FAFB"/>
          </w:tcPr>
          <w:p>
            <w:r>
              <w:rPr>
                <w:color w:val="374151"/>
                <w:sz w:val="18"/>
              </w:rPr>
              <w:t>19</w:t>
            </w:r>
          </w:p>
        </w:tc>
      </w:tr>
      <w:tr>
        <w:tc>
          <w:tcPr>
            <w:tcW w:type="dxa" w:w="4824"/>
            <w:shd w:val="clear" w:color="auto" w:fill="F9FAFB"/>
          </w:tcPr>
          <w:p>
            <w:r>
              <w:rPr>
                <w:color w:val="374151"/>
                <w:sz w:val="18"/>
              </w:rPr>
              <w:t>Relevance &amp; Value</w:t>
            </w:r>
          </w:p>
        </w:tc>
        <w:tc>
          <w:tcPr>
            <w:tcW w:type="dxa" w:w="4824"/>
            <w:shd w:val="clear" w:color="auto" w:fill="F9FAFB"/>
          </w:tcPr>
          <w:p>
            <w:r>
              <w:rPr>
                <w:color w:val="374151"/>
                <w:sz w:val="18"/>
              </w:rPr>
              <w:t>19</w:t>
            </w:r>
          </w:p>
        </w:tc>
      </w:tr>
      <w:tr>
        <w:tc>
          <w:tcPr>
            <w:tcW w:type="dxa" w:w="4824"/>
            <w:shd w:val="clear" w:color="auto" w:fill="F9FAFB"/>
          </w:tcPr>
          <w:p>
            <w:r>
              <w:rPr>
                <w:color w:val="374151"/>
                <w:sz w:val="18"/>
              </w:rPr>
              <w:t>SEO Compliance</w:t>
            </w:r>
          </w:p>
        </w:tc>
        <w:tc>
          <w:tcPr>
            <w:tcW w:type="dxa" w:w="4824"/>
            <w:shd w:val="clear" w:color="auto" w:fill="F9FAFB"/>
          </w:tcPr>
          <w:p>
            <w:r>
              <w:rPr>
                <w:color w:val="374151"/>
                <w:sz w:val="18"/>
              </w:rPr>
              <w:t>16</w:t>
            </w:r>
          </w:p>
        </w:tc>
      </w:tr>
      <w:tr>
        <w:tc>
          <w:tcPr>
            <w:tcW w:type="dxa" w:w="4824"/>
            <w:shd w:val="clear" w:color="auto" w:fill="F9FAFB"/>
          </w:tcPr>
          <w:p>
            <w:r>
              <w:rPr>
                <w:color w:val="374151"/>
                <w:sz w:val="18"/>
              </w:rPr>
              <w:t>Brand &amp; Tone</w:t>
            </w:r>
          </w:p>
        </w:tc>
        <w:tc>
          <w:tcPr>
            <w:tcW w:type="dxa" w:w="4824"/>
            <w:shd w:val="clear" w:color="auto" w:fill="F9FAFB"/>
          </w:tcPr>
          <w:p>
            <w:r>
              <w:rPr>
                <w:color w:val="374151"/>
                <w:sz w:val="18"/>
              </w:rPr>
              <w:t>18</w:t>
            </w:r>
          </w:p>
        </w:tc>
      </w:tr>
      <w:tr>
        <w:tc>
          <w:tcPr>
            <w:tcW w:type="dxa" w:w="4824"/>
            <w:shd w:val="clear" w:color="auto" w:fill="F9FAFB"/>
          </w:tcPr>
          <w:p>
            <w:r>
              <w:rPr>
                <w:color w:val="374151"/>
                <w:sz w:val="18"/>
              </w:rPr>
              <w:t>Quality &amp; Clarity</w:t>
            </w:r>
          </w:p>
        </w:tc>
        <w:tc>
          <w:tcPr>
            <w:tcW w:type="dxa" w:w="4824"/>
            <w:shd w:val="clear" w:color="auto" w:fill="F9FAFB"/>
          </w:tcPr>
          <w:p>
            <w:r>
              <w:rPr>
                <w:color w:val="374151"/>
                <w:sz w:val="18"/>
              </w:rPr>
              <w:t>18</w:t>
            </w:r>
          </w:p>
        </w:tc>
      </w:tr>
      <w:tr>
        <w:tc>
          <w:tcPr>
            <w:tcW w:type="dxa" w:w="4824"/>
            <w:shd w:val="clear" w:color="auto" w:fill="F9FAFB"/>
          </w:tcPr>
          <w:p>
            <w:r>
              <w:rPr>
                <w:color w:val="374151"/>
                <w:sz w:val="18"/>
              </w:rPr>
              <w:t>Total Score</w:t>
            </w:r>
          </w:p>
        </w:tc>
        <w:tc>
          <w:tcPr>
            <w:tcW w:type="dxa" w:w="4824"/>
            <w:shd w:val="clear" w:color="auto" w:fill="F9FAFB"/>
          </w:tcPr>
          <w:p>
            <w:r>
              <w:rPr>
                <w:color w:val="374151"/>
                <w:sz w:val="18"/>
              </w:rPr>
              <w:t>90/100</w:t>
            </w:r>
          </w:p>
        </w:tc>
      </w:tr>
      <w:tr>
        <w:tc>
          <w:tcPr>
            <w:tcW w:type="dxa" w:w="4824"/>
            <w:shd w:val="clear" w:color="auto" w:fill="F0FDF4"/>
          </w:tcPr>
          <w:p>
            <w:r>
              <w:rPr>
                <w:b/>
                <w:sz w:val="18"/>
              </w:rPr>
              <w:t>Status</w:t>
            </w:r>
          </w:p>
        </w:tc>
        <w:tc>
          <w:tcPr>
            <w:tcW w:type="dxa" w:w="4824"/>
            <w:shd w:val="clear" w:color="auto" w:fill="F0FDF4"/>
          </w:tcPr>
          <w:p>
            <w:r>
              <w:rPr>
                <w:b/>
                <w:color w:val="10B981"/>
                <w:sz w:val="18"/>
              </w:rPr>
              <w:t>APPROVED</w:t>
            </w:r>
          </w:p>
        </w:tc>
      </w:tr>
    </w:tbl>
    <w:p>
      <w:pPr>
        <w:spacing w:before="120"/>
      </w:pPr>
      <w:r>
        <w:rPr>
          <w:i/>
          <w:color w:val="6B7280"/>
          <w:sz w:val="18"/>
        </w:rPr>
        <w:t>Reviewer Notes: This is expert-level content with accurate, specific framework grounding. ATT&amp;CK technique IDs are correct (T1566, T1078.004, T1190, T1486, T1567.002, T1621), NIST CSF 2.0's Govern function and GV.SC are correctly described, 800-53 control families are properly mapped, and the SEC 8-K Item 1.05 / Reg S-K Item 106 references are accurate and current. FAIR, EPSS, and the CISA KEV catalog are used co</w:t>
      </w:r>
    </w:p>
    <w:p/>
    <w:p>
      <w:pPr>
        <w:pStyle w:val="Heading1"/>
      </w:pPr>
      <w:r>
        <w:rPr>
          <w:color w:val="1D4ED8"/>
        </w:rPr>
        <w:t>Cybersecurity Leadership and Strategy: A Practitioner's Guide for Security Leaders</w:t>
      </w:r>
    </w:p>
    <w:p>
      <w:pPr>
        <w:spacing w:after="40"/>
      </w:pPr>
    </w:p>
    <w:p>
      <w:pPr>
        <w:spacing w:after="80"/>
        <w:jc w:val="both"/>
      </w:pPr>
      <w:r>
        <w:rPr>
          <w:color w:val="374151"/>
          <w:sz w:val="20"/>
        </w:rPr>
        <w:t>In a threat environment shaped by ransomware-as-a-service, identity-based intrusions, and software supply chain compromise, the role of the security leader has shifted from technical gatekeeper to enterprise risk officer. The Verizon 2024 Data Breach Investigations Report found that the human element was involved in roughly two-thirds of breaches, and that exploitation of vulnerabilities as an initial access vector grew sharply year-over-year. For a CISO, the mandate is no longer simply "prevent breaches"—it is to quantify, communicate, and govern cyber risk in terms the board and the business can act on.</w:t>
      </w:r>
    </w:p>
    <w:p>
      <w:pPr>
        <w:spacing w:after="40"/>
      </w:pPr>
    </w:p>
    <w:p>
      <w:pPr>
        <w:spacing w:after="80"/>
        <w:jc w:val="both"/>
      </w:pPr>
      <w:r>
        <w:rPr>
          <w:color w:val="374151"/>
          <w:sz w:val="20"/>
        </w:rPr>
        <w:t>This guide outlines how to translate frameworks into defensible strategy, instrument it with metrics, and report it to the board.</w:t>
      </w:r>
    </w:p>
    <w:p>
      <w:pPr>
        <w:spacing w:after="40"/>
      </w:pPr>
    </w:p>
    <w:p>
      <w:pPr>
        <w:pStyle w:val="Heading2"/>
      </w:pPr>
      <w:r>
        <w:rPr>
          <w:color w:val="1D4ED8"/>
        </w:rPr>
        <w:t>Understanding the Threat Landscape</w:t>
      </w:r>
    </w:p>
    <w:p>
      <w:pPr>
        <w:spacing w:after="40"/>
      </w:pPr>
    </w:p>
    <w:p>
      <w:pPr>
        <w:spacing w:after="80"/>
        <w:jc w:val="both"/>
      </w:pPr>
      <w:r>
        <w:rPr>
          <w:color w:val="374151"/>
          <w:sz w:val="20"/>
        </w:rPr>
        <w:t>Modern adversaries operate with predictable patterns that can be mapped, detected, and disrupted. The MITRE ATT&amp;CK framework catalogs these behaviors as tactics, techniques, and procedures (TTPs), giving security leaders a shared vocabulary for prioritizing defenses against how attackers actually operate.</w:t>
      </w:r>
    </w:p>
    <w:p>
      <w:pPr>
        <w:spacing w:after="40"/>
      </w:pPr>
    </w:p>
    <w:p>
      <w:pPr>
        <w:spacing w:after="80"/>
        <w:jc w:val="both"/>
      </w:pPr>
      <w:r>
        <w:rPr>
          <w:color w:val="374151"/>
          <w:sz w:val="20"/>
        </w:rPr>
        <w:t>The dominant techniques security programs should be prepared for include:</w:t>
      </w:r>
    </w:p>
    <w:p>
      <w:pPr>
        <w:spacing w:after="40"/>
      </w:pPr>
    </w:p>
    <w:p>
      <w:pPr>
        <w:pStyle w:val="ListBullet"/>
        <w:spacing w:after="40"/>
      </w:pPr>
      <w:r>
        <w:rPr>
          <w:color w:val="374151"/>
          <w:sz w:val="20"/>
        </w:rPr>
        <w:t>Phishing (T1566) and its sub-techniques—spearphishing attachment (T1566.001) and link (T1566.002)—remain the most common initial access vector.</w:t>
      </w:r>
    </w:p>
    <w:p>
      <w:pPr>
        <w:pStyle w:val="ListBullet"/>
        <w:spacing w:after="40"/>
      </w:pPr>
      <w:r>
        <w:rPr>
          <w:color w:val="374151"/>
          <w:sz w:val="20"/>
        </w:rPr>
        <w:t>Valid Accounts: Cloud Accounts (T1078.004), reflecting the shift toward identity as the primary attack surface in SaaS and IaaS environments.</w:t>
      </w:r>
    </w:p>
    <w:p>
      <w:pPr>
        <w:pStyle w:val="ListBullet"/>
        <w:spacing w:after="40"/>
      </w:pPr>
      <w:r>
        <w:rPr>
          <w:color w:val="374151"/>
          <w:sz w:val="20"/>
        </w:rPr>
        <w:t>Exploit Public-Facing Application (T1190), frequently used against unpatched edge devices, VPNs, and web applications.</w:t>
      </w:r>
    </w:p>
    <w:p>
      <w:pPr>
        <w:pStyle w:val="ListBullet"/>
        <w:spacing w:after="40"/>
      </w:pPr>
      <w:r>
        <w:rPr>
          <w:color w:val="374151"/>
          <w:sz w:val="20"/>
        </w:rPr>
        <w:t>Data Encrypted for Impact (T1486) and Exfiltration to Cloud Storage (T1567.002), the technical core of double-extortion ransomware.</w:t>
      </w:r>
    </w:p>
    <w:p>
      <w:pPr>
        <w:pStyle w:val="ListBullet"/>
        <w:spacing w:after="40"/>
      </w:pPr>
      <w:r>
        <w:rPr>
          <w:color w:val="374151"/>
          <w:sz w:val="20"/>
        </w:rPr>
        <w:t>Multi-Factor Authentication Request Generation / MFA fatigue (T1621), used to bypass weak push-based MFA.</w:t>
      </w:r>
    </w:p>
    <w:p>
      <w:pPr>
        <w:spacing w:after="40"/>
      </w:pPr>
    </w:p>
    <w:p>
      <w:pPr>
        <w:spacing w:after="80"/>
        <w:jc w:val="both"/>
      </w:pPr>
      <w:r>
        <w:rPr>
          <w:color w:val="374151"/>
          <w:sz w:val="20"/>
        </w:rPr>
        <w:t>Mapping your detection coverage against these techniques—rather than against generic "threat categories"—lets you express defensive gaps in concrete, testable terms. Tools such as MITRE ATT&amp;CK Navigator and Atomic Red Team allow you to build a coverage heatmap and validate detections through adversary emulation and purple-team exercises.</w:t>
      </w:r>
    </w:p>
    <w:p>
      <w:pPr>
        <w:spacing w:after="40"/>
      </w:pPr>
    </w:p>
    <w:p>
      <w:pPr>
        <w:pStyle w:val="Heading2"/>
      </w:pPr>
      <w:r>
        <w:rPr>
          <w:color w:val="1D4ED8"/>
        </w:rPr>
        <w:t>Building a Framework-Based Strategy</w:t>
      </w:r>
    </w:p>
    <w:p>
      <w:pPr>
        <w:spacing w:after="40"/>
      </w:pPr>
    </w:p>
    <w:p>
      <w:pPr>
        <w:spacing w:after="80"/>
        <w:jc w:val="both"/>
      </w:pPr>
      <w:r>
        <w:rPr>
          <w:color w:val="374151"/>
          <w:sz w:val="20"/>
        </w:rPr>
        <w:t>A defensible strategy anchors to recognized frameworks so that investment decisions are auditable and benchmarkable. The two most useful for security leaders are the NIST Cybersecurity Framework (CSF) 2.0 for organizing program functions and NIST SP 800-53 Rev. 5 for the underlying control catalog, with CIS Controls v8.1 providing prioritized, prescriptive safeguards.</w:t>
      </w:r>
    </w:p>
    <w:p>
      <w:pPr>
        <w:spacing w:after="40"/>
      </w:pPr>
    </w:p>
    <w:p>
      <w:pPr>
        <w:pStyle w:val="Heading3"/>
      </w:pPr>
      <w:r>
        <w:rPr>
          <w:sz w:val="22"/>
        </w:rPr>
        <w:t>NIST CSF 2.0: Six Functions</w:t>
      </w:r>
    </w:p>
    <w:p>
      <w:pPr>
        <w:spacing w:after="40"/>
      </w:pPr>
    </w:p>
    <w:p>
      <w:pPr>
        <w:spacing w:after="80"/>
        <w:jc w:val="both"/>
      </w:pPr>
      <w:r>
        <w:rPr>
          <w:color w:val="374151"/>
          <w:sz w:val="20"/>
        </w:rPr>
        <w:t>Note that NIST CSF 2.0, released in February 2024, adds a sixth function—Govern (GV)— elevating governance, risk management strategy, roles, and supply chain oversight to a first-class concern. The current six functions are:</w:t>
      </w:r>
    </w:p>
    <w:p>
      <w:pPr>
        <w:spacing w:after="40"/>
      </w:pPr>
    </w:p>
    <w:p>
      <w:pPr>
        <w:pStyle w:val="ListBullet"/>
        <w:spacing w:after="40"/>
      </w:pPr>
      <w:r>
        <w:rPr>
          <w:color w:val="374151"/>
          <w:sz w:val="20"/>
        </w:rPr>
        <w:t>Govern (GV) — Establish and communicate cybersecurity risk management strategy, roles and responsibilities, policy, and oversight of the supply chain (GV.SC). This is where board reporting and risk appetite live.</w:t>
      </w:r>
    </w:p>
    <w:p>
      <w:pPr>
        <w:pStyle w:val="ListBullet"/>
        <w:spacing w:after="40"/>
      </w:pPr>
      <w:r>
        <w:rPr>
          <w:color w:val="374151"/>
          <w:sz w:val="20"/>
        </w:rPr>
        <w:t>Identify (ID) — Asset management (ID.AM) and risk assessment (ID.RA). You cannot protect what you have not inventoried; CIS Controls 1 and 2 (enterprise asset and software inventory) operationalize this.</w:t>
      </w:r>
    </w:p>
    <w:p>
      <w:pPr>
        <w:pStyle w:val="ListBullet"/>
        <w:spacing w:after="40"/>
      </w:pPr>
      <w:r>
        <w:rPr>
          <w:color w:val="374151"/>
          <w:sz w:val="20"/>
        </w:rPr>
        <w:t>Protect (PR) — Identity management and access control (PR.AA), data security (PR.DS), and platform hardening. Maps to NIST 800-53 control families AC (Access Control), IA (Identification and Authentication), and SC (System and Communications Protection).</w:t>
      </w:r>
    </w:p>
    <w:p>
      <w:pPr>
        <w:pStyle w:val="ListBullet"/>
        <w:spacing w:after="40"/>
      </w:pPr>
      <w:r>
        <w:rPr>
          <w:color w:val="374151"/>
          <w:sz w:val="20"/>
        </w:rPr>
        <w:t>Detect (DE) — Continuous monitoring (DE.CM) and adverse event analysis (DE.AE), operationalized through SIEM/XDR telemetry, EDR, and the SI (System and Information Integrity) and AU (Audit and Accountability) families.</w:t>
      </w:r>
    </w:p>
    <w:p>
      <w:pPr>
        <w:pStyle w:val="ListBullet"/>
        <w:spacing w:after="40"/>
      </w:pPr>
      <w:r>
        <w:rPr>
          <w:color w:val="374151"/>
          <w:sz w:val="20"/>
        </w:rPr>
        <w:t>Respond (RS) — Incident management, analysis, and reporting (RS.MA, RS.AN), aligned to NIST SP 800-61 and the IR (Incident Response) family.</w:t>
      </w:r>
    </w:p>
    <w:p>
      <w:pPr>
        <w:pStyle w:val="ListBullet"/>
        <w:spacing w:after="40"/>
      </w:pPr>
      <w:r>
        <w:rPr>
          <w:color w:val="374151"/>
          <w:sz w:val="20"/>
        </w:rPr>
        <w:t>Recover (RC) — Incident recovery and communications (RC.RP, RC.CO), backed by tested, offline/immutable backups (CP Contingency Planning family) to counter T1486 ransomware impact.</w:t>
      </w:r>
    </w:p>
    <w:p>
      <w:pPr>
        <w:spacing w:after="40"/>
      </w:pPr>
    </w:p>
    <w:p>
      <w:pPr>
        <w:pStyle w:val="Heading3"/>
      </w:pPr>
      <w:r>
        <w:rPr>
          <w:sz w:val="22"/>
        </w:rPr>
        <w:t>Translating Functions into Concrete Controls</w:t>
      </w:r>
    </w:p>
    <w:p>
      <w:pPr>
        <w:spacing w:after="40"/>
      </w:pPr>
    </w:p>
    <w:p>
      <w:pPr>
        <w:spacing w:after="80"/>
        <w:jc w:val="both"/>
      </w:pPr>
      <w:r>
        <w:rPr>
          <w:color w:val="374151"/>
          <w:sz w:val="20"/>
        </w:rPr>
        <w:t>Frameworks are only useful when reduced to specific, enforceable controls. Priorities that yield the highest risk reduction for security leaders:</w:t>
      </w:r>
    </w:p>
    <w:p>
      <w:pPr>
        <w:spacing w:after="40"/>
      </w:pPr>
    </w:p>
    <w:p>
      <w:pPr>
        <w:pStyle w:val="ListBullet"/>
        <w:spacing w:after="40"/>
      </w:pPr>
      <w:r>
        <w:rPr>
          <w:color w:val="374151"/>
          <w:sz w:val="20"/>
        </w:rPr>
        <w:t>Phishing-resistant MFA (FIDO2/WebAuthn) for all privileged and remote access, directly mitigating T1566, T1078.004, and T1621. Push-based MFA alone is increasingly insufficient.</w:t>
      </w:r>
    </w:p>
    <w:p>
      <w:pPr>
        <w:pStyle w:val="ListBullet"/>
        <w:spacing w:after="40"/>
      </w:pPr>
      <w:r>
        <w:rPr>
          <w:color w:val="374151"/>
          <w:sz w:val="20"/>
        </w:rPr>
        <w:t>Rapid, risk-based patching of internet-facing systems, prioritized using EPSS scores and the CISA Known Exploited Vulnerabilities (KEV) catalog rather than CVSS base scores alone—this targets T1190.</w:t>
      </w:r>
    </w:p>
    <w:p>
      <w:pPr>
        <w:pStyle w:val="ListBullet"/>
        <w:spacing w:after="40"/>
      </w:pPr>
      <w:r>
        <w:rPr>
          <w:color w:val="374151"/>
          <w:sz w:val="20"/>
        </w:rPr>
        <w:t>Tiered, least-privilege identity model and conditional access, reducing lateral movement and credential abuse.</w:t>
      </w:r>
    </w:p>
    <w:p>
      <w:pPr>
        <w:pStyle w:val="ListBullet"/>
        <w:spacing w:after="40"/>
      </w:pPr>
      <w:r>
        <w:rPr>
          <w:color w:val="374151"/>
          <w:sz w:val="20"/>
        </w:rPr>
        <w:t>Immutable, tested backups with documented recovery time/point objectives (RTO/RPO), the technical foundation of resilience against extortion.</w:t>
      </w:r>
    </w:p>
    <w:p>
      <w:pPr>
        <w:pStyle w:val="ListBullet"/>
        <w:spacing w:after="40"/>
      </w:pPr>
      <w:r>
        <w:rPr>
          <w:color w:val="374151"/>
          <w:sz w:val="20"/>
        </w:rPr>
        <w:t>Continuous control validation through breach-and-attack simulation, so you measure whether controls actually fire—not just whether they are deployed.</w:t>
      </w:r>
    </w:p>
    <w:p>
      <w:pPr>
        <w:spacing w:after="40"/>
      </w:pPr>
    </w:p>
    <w:p>
      <w:pPr>
        <w:pStyle w:val="Heading2"/>
      </w:pPr>
      <w:r>
        <w:rPr>
          <w:color w:val="1D4ED8"/>
        </w:rPr>
        <w:t>Leading the Program: Governance, Metrics, and Board Reporting</w:t>
      </w:r>
    </w:p>
    <w:p>
      <w:pPr>
        <w:spacing w:after="40"/>
      </w:pPr>
    </w:p>
    <w:p>
      <w:pPr>
        <w:spacing w:after="80"/>
        <w:jc w:val="both"/>
      </w:pPr>
      <w:r>
        <w:rPr>
          <w:color w:val="374151"/>
          <w:sz w:val="20"/>
        </w:rPr>
        <w:t>Where most security programs fail is not technology selection but the inability to communicate risk and demonstrate value to leadership. This is the focus of CSF 2.0's Govern function.</w:t>
      </w:r>
    </w:p>
    <w:p>
      <w:pPr>
        <w:spacing w:after="40"/>
      </w:pPr>
    </w:p>
    <w:p>
      <w:pPr>
        <w:pStyle w:val="Heading3"/>
      </w:pPr>
      <w:r>
        <w:rPr>
          <w:sz w:val="22"/>
        </w:rPr>
        <w:t>Quantify Risk, Don't Just Color-Code It</w:t>
      </w:r>
    </w:p>
    <w:p>
      <w:pPr>
        <w:spacing w:after="40"/>
      </w:pPr>
    </w:p>
    <w:p>
      <w:pPr>
        <w:spacing w:after="80"/>
        <w:jc w:val="both"/>
      </w:pPr>
      <w:r>
        <w:rPr>
          <w:color w:val="374151"/>
          <w:sz w:val="20"/>
        </w:rPr>
        <w:t>Move beyond red/amber/green heatmaps toward defensible financial risk quantification. Methodologies such as FAIR (Factor Analysis of Information Risk) express cyber risk as a probable annualized loss range, enabling the board to compare cyber risk against other enterprise risks and to evaluate whether a control investment reduces expected loss. When you say "this $1.2M EDR and identity program reduces our probable annual loss from ransomware by an estimated $6–9M," you have converted a security request into a business decision.</w:t>
      </w:r>
    </w:p>
    <w:p>
      <w:pPr>
        <w:spacing w:after="40"/>
      </w:pPr>
    </w:p>
    <w:p>
      <w:pPr>
        <w:pStyle w:val="Heading3"/>
      </w:pPr>
      <w:r>
        <w:rPr>
          <w:sz w:val="22"/>
        </w:rPr>
        <w:t>Metrics and KPIs the Board Should See</w:t>
      </w:r>
    </w:p>
    <w:p>
      <w:pPr>
        <w:spacing w:after="40"/>
      </w:pPr>
    </w:p>
    <w:p>
      <w:pPr>
        <w:spacing w:after="80"/>
        <w:jc w:val="both"/>
      </w:pPr>
      <w:r>
        <w:rPr>
          <w:color w:val="374151"/>
          <w:sz w:val="20"/>
        </w:rPr>
        <w:t>Report leading and lagging indicators that tie to risk outcomes, not vanity metrics:</w:t>
      </w:r>
    </w:p>
    <w:p>
      <w:pPr>
        <w:spacing w:after="40"/>
      </w:pPr>
    </w:p>
    <w:p>
      <w:pPr>
        <w:pStyle w:val="ListBullet"/>
        <w:spacing w:after="40"/>
      </w:pPr>
      <w:r>
        <w:rPr>
          <w:color w:val="374151"/>
          <w:sz w:val="20"/>
        </w:rPr>
        <w:t>Mean Time to Detect (MTTD) and Mean Time to Respond/Contain (MTTR) for incidents, trended over time.</w:t>
      </w:r>
    </w:p>
    <w:p>
      <w:pPr>
        <w:pStyle w:val="ListBullet"/>
        <w:spacing w:after="40"/>
      </w:pPr>
      <w:r>
        <w:rPr>
          <w:color w:val="374151"/>
          <w:sz w:val="20"/>
        </w:rPr>
        <w:t>Percentage of critical assets covered by EDR and centralized logging, mapped to ID.AM and DE.CM.</w:t>
      </w:r>
    </w:p>
    <w:p>
      <w:pPr>
        <w:pStyle w:val="ListBullet"/>
        <w:spacing w:after="40"/>
      </w:pPr>
      <w:r>
        <w:rPr>
          <w:color w:val="374151"/>
          <w:sz w:val="20"/>
        </w:rPr>
        <w:t>ATT&amp;CK technique detection coverage for your top threat scenarios, with gaps and remediation timelines.</w:t>
      </w:r>
    </w:p>
    <w:p>
      <w:pPr>
        <w:pStyle w:val="ListBullet"/>
        <w:spacing w:after="40"/>
      </w:pPr>
      <w:r>
        <w:rPr>
          <w:color w:val="374151"/>
          <w:sz w:val="20"/>
        </w:rPr>
        <w:t>Time-to-patch for KEV-listed and internet-facing vulnerabilities against a defined SLA.</w:t>
      </w:r>
    </w:p>
    <w:p>
      <w:pPr>
        <w:pStyle w:val="ListBullet"/>
        <w:spacing w:after="40"/>
      </w:pPr>
      <w:r>
        <w:rPr>
          <w:color w:val="374151"/>
          <w:sz w:val="20"/>
        </w:rPr>
        <w:t>Phishing-resistant MFA enrollment rate for privileged accounts (target: 100%).</w:t>
      </w:r>
    </w:p>
    <w:p>
      <w:pPr>
        <w:pStyle w:val="ListBullet"/>
        <w:spacing w:after="40"/>
      </w:pPr>
      <w:r>
        <w:rPr>
          <w:color w:val="374151"/>
          <w:sz w:val="20"/>
        </w:rPr>
        <w:t>Recovery readiness: date of last validated restore test and measured RTO/RPO vs. target.</w:t>
      </w:r>
    </w:p>
    <w:p>
      <w:pPr>
        <w:spacing w:after="40"/>
      </w:pPr>
    </w:p>
    <w:p>
      <w:pPr>
        <w:pStyle w:val="Heading3"/>
      </w:pPr>
      <w:r>
        <w:rPr>
          <w:sz w:val="22"/>
        </w:rPr>
        <w:t>Structure Board Communication Around Risk and Accountability</w:t>
      </w:r>
    </w:p>
    <w:p>
      <w:pPr>
        <w:spacing w:after="40"/>
      </w:pPr>
    </w:p>
    <w:p>
      <w:pPr>
        <w:spacing w:after="80"/>
        <w:jc w:val="both"/>
      </w:pPr>
      <w:r>
        <w:rPr>
          <w:color w:val="374151"/>
          <w:sz w:val="20"/>
        </w:rPr>
        <w:t>Boards increasingly bear governance responsibility for cyber risk; in the U.S., SEC rules effective December 2023 require disclosure of material cybersecurity incidents (Form 8-K Item 1.05) and annual disclosure of risk management and governance processes (Regulation S-K Item 106). Frame board reporting accordingly:</w:t>
      </w:r>
    </w:p>
    <w:p>
      <w:pPr>
        <w:spacing w:after="40"/>
      </w:pPr>
    </w:p>
    <w:p>
      <w:pPr>
        <w:pStyle w:val="ListBullet"/>
        <w:spacing w:after="40"/>
      </w:pPr>
      <w:r>
        <w:rPr>
          <w:color w:val="374151"/>
          <w:sz w:val="20"/>
        </w:rPr>
        <w:t>Present a small set of risk-aligned KPIs with trend lines and a clear narrative on what changed and why.</w:t>
      </w:r>
    </w:p>
    <w:p>
      <w:pPr>
        <w:pStyle w:val="ListBullet"/>
        <w:spacing w:after="40"/>
      </w:pPr>
      <w:r>
        <w:rPr>
          <w:color w:val="374151"/>
          <w:sz w:val="20"/>
        </w:rPr>
        <w:t>Tie each major initiative to a quantified risk reduction and a named control owner.</w:t>
      </w:r>
    </w:p>
    <w:p>
      <w:pPr>
        <w:pStyle w:val="ListBullet"/>
        <w:spacing w:after="40"/>
      </w:pPr>
      <w:r>
        <w:rPr>
          <w:color w:val="374151"/>
          <w:sz w:val="20"/>
        </w:rPr>
        <w:t>Report progress against a target framework maturity (e.g., CSF profile current vs. target state) rather than raw activity counts.</w:t>
      </w:r>
    </w:p>
    <w:p>
      <w:pPr>
        <w:pStyle w:val="ListBullet"/>
        <w:spacing w:after="40"/>
      </w:pPr>
      <w:r>
        <w:rPr>
          <w:color w:val="374151"/>
          <w:sz w:val="20"/>
        </w:rPr>
        <w:t>Maintain a tested incident response and disclosure playbook so material-event reporting obligations can be met under time pressure.</w:t>
      </w:r>
    </w:p>
    <w:p>
      <w:pPr>
        <w:spacing w:after="40"/>
      </w:pPr>
    </w:p>
    <w:p>
      <w:pPr>
        <w:pStyle w:val="Heading2"/>
      </w:pPr>
      <w:r>
        <w:rPr>
          <w:color w:val="1D4ED8"/>
        </w:rPr>
        <w:t>Conclusion</w:t>
      </w:r>
    </w:p>
    <w:p>
      <w:pPr>
        <w:spacing w:after="40"/>
      </w:pPr>
    </w:p>
    <w:p>
      <w:pPr>
        <w:spacing w:after="80"/>
        <w:jc w:val="both"/>
      </w:pPr>
      <w:r>
        <w:rPr>
          <w:color w:val="374151"/>
          <w:sz w:val="20"/>
        </w:rPr>
        <w:t>A resilient security posture is the product of disciplined leadership, not tool accumulation. By mapping defenses to real adversary behavior in MITRE ATT&amp;CK, organizing the program around NIST CSF 2.0—including its new Govern function—and grounding investment in the prioritized controls of NIST 800-53 and CIS Controls v8.1, security leaders can build a program that is both defensible and auditable. The differentiator at the leadership level is the ability to quantify risk in financial terms, instrument it with outcome-based metrics, and report it to the board in language that drives decisions. That is the work that turns cybersecurity from a cost center into a measurable contributor to enterprise resilience.</w:t>
      </w:r>
    </w:p>
    <w:p/>
    <w:p>
      <w:pPr>
        <w:jc w:val="center"/>
      </w:pPr>
      <w:r>
        <w:rPr>
          <w:i/>
          <w:color w:val="6B7280"/>
          <w:sz w:val="16"/>
        </w:rPr>
        <w:t>LLM-1: Groq Llama 3.3 70B (Generator)  |  LLM-2: Claude Sonnet (Reviewer)</w:t>
      </w:r>
    </w:p>
    <w:sectPr w:rsidR="00FC693F" w:rsidRPr="0006063C" w:rsidSect="00034616">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