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lineRule="auto"/>
      </w:pPr>
      <w:r>
        <w:rPr>
          <w:rFonts w:ascii="Calibri" w:cs="Calibri" w:eastAsia="Calibri" w:hAnsi="Calibri"/>
          <w:b/>
          <w:bCs/>
          <w:color w:val="1F3864"/>
          <w:sz w:val="38"/>
          <w:szCs w:val="38"/>
        </w:rPr>
        <w:t xml:space="preserve">Q4: Reflection and next steps</w:t>
      </w:r>
    </w:p>
    <w:p>
      <w:pPr>
        <w:pBdr>
          <w:bottom w:val="single" w:color="2F5597" w:sz="8" w:space="4"/>
        </w:pBdr>
        <w:spacing w:after="40" w:line="240" w:lineRule="auto"/>
      </w:pPr>
      <w:r>
        <w:rPr>
          <w:rFonts w:ascii="Calibri" w:cs="Calibri" w:eastAsia="Calibri" w:hAnsi="Calibri"/>
          <w:color w:val="2F5597"/>
          <w:sz w:val="22"/>
          <w:szCs w:val="22"/>
        </w:rPr>
        <w:t xml:space="preserve">Trace findings, improvement plan, evaluation, privacy and rollout</w:t>
      </w:r>
    </w:p>
    <w:p>
      <w:pPr>
        <w:spacing w:after="40" w:line="240" w:lineRule="auto"/>
      </w:pPr>
      <w:r>
        <w:rPr>
          <w:i/>
          <w:sz w:val="17"/>
        </w:rPr>
        <w:t>Submitted by Santosh Rasputra</w:t>
      </w:r>
    </w:p>
    <w:p>
      <w:pPr>
        <w:pStyle w:val="Heading2"/>
        <w:spacing w:before="120" w:after="40"/>
      </w:pPr>
      <w:r>
        <w:rPr>
          <w:rFonts w:ascii="Calibri" w:cs="Calibri" w:eastAsia="Calibri" w:hAnsi="Calibri"/>
        </w:rPr>
        <w:t xml:space="preserve">Trace findings</w:t>
      </w:r>
    </w:p>
    <w:p>
      <w:pPr>
        <w:spacing w:after="40" w:before="0" w:line="240" w:lineRule="auto"/>
      </w:pPr>
      <w:r>
        <w:rPr>
          <w:rFonts w:ascii="Calibri" w:cs="Calibri" w:eastAsia="Calibri" w:hAnsi="Calibri"/>
        </w:rPr>
        <w:t xml:space="preserve">The Langfuse export covers 78 requests, 119 model calls and 431 observations from 18 October 2026, all on gpt-4o-mini, with no errors. Total development cost was USD 0.026.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900"/>
        <w:gridCol w:w="4438"/>
      </w:tblGrid>
      <w:tr>
        <w:trPr>
          <w:cantSplit/>
          <w:tblHeader/>
        </w:trPr>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Agent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Calls</w:t>
            </w:r>
          </w:p>
        </w:tc>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Average time</w:t>
            </w:r>
          </w:p>
        </w:tc>
        <w:tc>
          <w:tcPr>
            <w:tcW w:type="dxa" w:w="44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Average tokens in / out, cost per call</w:t>
            </w:r>
          </w:p>
        </w:tc>
      </w:tr>
      <w:tr>
        <w:trPr>
          <w:cantSplit w:val="off"/>
        </w:trPr>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Orchestrator</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78</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1.0 s</w:t>
            </w:r>
          </w:p>
        </w:tc>
        <w:tc>
          <w:tcPr>
            <w:tcW w:type="dxa" w:w="4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548 / 29, USD 0.0001 (30% of all cost)</w:t>
            </w:r>
          </w:p>
        </w:tc>
      </w:tr>
      <w:tr>
        <w:trPr>
          <w:cantSplit w:val="off"/>
        </w:trPr>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Planner</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9</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8.4 s</w:t>
            </w:r>
          </w:p>
        </w:tc>
        <w:tc>
          <w:tcPr>
            <w:tcW w:type="dxa" w:w="4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1,150 / 850, USD 0.00068</w:t>
            </w:r>
          </w:p>
        </w:tc>
      </w:tr>
      <w:tr>
        <w:trPr>
          <w:cantSplit w:val="off"/>
        </w:trPr>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Assessor</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15</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4.4 s</w:t>
            </w:r>
          </w:p>
        </w:tc>
        <w:tc>
          <w:tcPr>
            <w:tcW w:type="dxa" w:w="4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2,300 / 411, USD 0.00059</w:t>
            </w:r>
          </w:p>
        </w:tc>
      </w:tr>
      <w:tr>
        <w:trPr>
          <w:cantSplit w:val="off"/>
        </w:trPr>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Tracker, Update</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17</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1.5 to 2.3 s</w:t>
            </w:r>
          </w:p>
        </w:tc>
        <w:tc>
          <w:tcPr>
            <w:tcW w:type="dxa" w:w="4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about 600 to 800 in, 107 to 189 out, USD 0.00015 to 0.00023</w:t>
            </w:r>
          </w:p>
        </w:tc>
      </w:tr>
    </w:tbl>
    <w:p>
      <w:pPr>
        <w:spacing w:after="40" w:line="240" w:lineRule="auto"/>
      </w:pPr>
    </w:p>
    <w:p>
      <w:pPr>
        <w:pStyle w:val="ListParagraph"/>
        <w:numPr>
          <w:ilvl w:val="0"/>
          <w:numId w:val="2"/>
        </w:numPr>
        <w:spacing w:after="40" w:line="240" w:lineRule="auto"/>
      </w:pPr>
      <w:r>
        <w:rPr>
          <w:rFonts w:ascii="Calibri" w:cs="Calibri" w:eastAsia="Calibri" w:hAnsi="Calibri"/>
          <w:b/>
          <w:bCs/>
        </w:rPr>
        <w:t xml:space="preserve">Speed and cost sit in two places.</w:t>
      </w:r>
      <w:r>
        <w:rPr>
          <w:rFonts w:ascii="Calibri" w:cs="Calibri" w:eastAsia="Calibri" w:hAnsi="Calibri"/>
        </w:rPr>
        <w:t xml:space="preserve"> The Planner takes 8.4 s because it writes about 850 tokens, and much of that repeats the phase table that code then replaces from the timeline file. The Orchestrator runs on every request, including 24 that were refused as vague.</w:t>
      </w:r>
    </w:p>
    <w:p>
      <w:pPr>
        <w:pStyle w:val="ListParagraph"/>
        <w:numPr>
          <w:ilvl w:val="0"/>
          <w:numId w:val="2"/>
        </w:numPr>
        <w:spacing w:after="40" w:line="240" w:lineRule="auto"/>
      </w:pPr>
      <w:r>
        <w:t>Guardrails fired on 9 of 78 development requests (REVIEW), removing unsupported content, including a false “sprint complete” claim in T12. The final baseline passed 12 of 12 tests; T12’s trace remains REVIEW to record the correction.</w:t>
      </w:r>
    </w:p>
    <w:p>
      <w:pPr>
        <w:pStyle w:val="Heading2"/>
        <w:spacing w:before="120" w:after="40"/>
      </w:pPr>
      <w:r>
        <w:rPr>
          <w:rFonts w:ascii="Calibri" w:cs="Calibri" w:eastAsia="Calibri" w:hAnsi="Calibri"/>
        </w:rPr>
        <w:t xml:space="preserve">Improvement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538"/>
        <w:gridCol w:w="2600"/>
      </w:tblGrid>
      <w:tr>
        <w:trPr>
          <w:cantSplit/>
          <w:tblHeader/>
        </w:trPr>
        <w:tc>
          <w:tcPr>
            <w:tcW w:type="dxa" w:w="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t>
            </w:r>
          </w:p>
        </w:tc>
        <w:tc>
          <w:tcPr>
            <w:tcW w:type="dxa" w:w="6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Change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Expected effect (from traces)</w:t>
            </w:r>
          </w:p>
        </w:tc>
      </w:tr>
      <w:tr>
        <w:trPr>
          <w:cantSplit w:val="off"/>
        </w:trPr>
        <w:tc>
          <w:tcPr>
            <w:tcW w:type="dxa" w:w="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6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Planner returns only summary, goals and approach. Code writes the phase table.</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About 40% fewer output tokens; plan time from 8.4 s to about 5 s</w:t>
            </w:r>
          </w:p>
        </w:tc>
      </w:tr>
      <w:tr>
        <w:trPr>
          <w:cantSplit w:val="off"/>
        </w:trPr>
        <w:tc>
          <w:tcPr>
            <w:tcW w:type="dxa" w:w="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6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Route by rules first; call the Orchestrator model only when rules are unsure.</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Up to 30% lower cost; about 1 s faster on most requests</w:t>
            </w:r>
          </w:p>
        </w:tc>
      </w:tr>
      <w:tr>
        <w:trPr>
          <w:cantSplit w:val="off"/>
        </w:trPr>
        <w:tc>
          <w:tcPr>
            <w:tcW w:type="dxa" w:w="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6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Name traces by route and outcome. A refused plan and a real plan both show as "Mira: plan" today.</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Quality review by filter in Langfuse</w:t>
            </w:r>
          </w:p>
        </w:tc>
      </w:tr>
      <w:tr>
        <w:trPr>
          <w:cantSplit w:val="off"/>
        </w:trPr>
        <w:tc>
          <w:tcPr>
            <w:tcW w:type="dxa" w:w="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6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Add 20 more test inputs: other sprints, typos, mixed requests.</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Wider evaluation set before the pilot</w:t>
            </w:r>
          </w:p>
        </w:tc>
      </w:tr>
    </w:tbl>
    <w:p>
      <w:pPr>
        <w:pStyle w:val="Heading2"/>
        <w:spacing w:before="120" w:after="40"/>
      </w:pPr>
      <w:r>
        <w:rPr>
          <w:rFonts w:ascii="Calibri" w:cs="Calibri" w:eastAsia="Calibri" w:hAnsi="Calibri"/>
        </w:rPr>
        <w:t xml:space="preserve">Evaluation and fine-tuning</w:t>
      </w:r>
    </w:p>
    <w:p>
      <w:pPr>
        <w:spacing w:after="40" w:before="0" w:line="240" w:lineRule="auto"/>
      </w:pPr>
      <w:r>
        <w:t>The 12 baseline tests are the regression set. They run before any prompt or model change, and release requires no new failures. REVIEW traces form a labelled evaluation set. Fine-tuning is not justified yet because the observed issues were addressed with prompts and code checks. Reconsider it if REVIEW remains above 15% after the pilot.</w:t>
      </w:r>
    </w:p>
    <w:p>
      <w:pPr>
        <w:pStyle w:val="Heading2"/>
        <w:spacing w:before="120" w:after="40"/>
      </w:pPr>
      <w:r>
        <w:rPr>
          <w:rFonts w:ascii="Calibri" w:cs="Calibri" w:eastAsia="Calibri" w:hAnsi="Calibri"/>
        </w:rPr>
        <w:t xml:space="preserve">Privacy</w:t>
      </w:r>
    </w:p>
    <w:p>
      <w:pPr>
        <w:spacing w:after="40" w:before="0" w:line="240" w:lineRule="auto"/>
      </w:pPr>
      <w:r>
        <w:rPr>
          <w:rFonts w:ascii="Calibri" w:cs="Calibri" w:eastAsia="Calibri" w:hAnsi="Calibri"/>
        </w:rPr>
        <w:t xml:space="preserve">Langfuse stores the full prompt and answer of every call. That includes task names, owners (for example Priya Nair) and project details. Before the pilot: choose the Langfuse region that meets Nexora policy, set a retention period, mask owner names in the trace, keep personal data out of prompts, and confirm the model provider's data terms with the data and privacy lead.</w:t>
      </w:r>
    </w:p>
    <w:p>
      <w:pPr>
        <w:pStyle w:val="Heading2"/>
        <w:spacing w:before="120" w:after="40"/>
      </w:pPr>
      <w:r>
        <w:rPr>
          <w:rFonts w:ascii="Calibri" w:cs="Calibri" w:eastAsia="Calibri" w:hAnsi="Calibri"/>
        </w:rPr>
        <w:t xml:space="preserve">Rollout for 10 PMs and TPMs</w:t>
      </w:r>
    </w:p>
    <w:p>
      <w:pPr>
        <w:spacing w:after="40" w:before="0" w:line="240" w:lineRule="auto"/>
      </w:pPr>
      <w:r>
        <w:rPr>
          <w:rFonts w:ascii="Calibri" w:cs="Calibri" w:eastAsia="Calibri" w:hAnsi="Calibri"/>
        </w:rPr>
        <w:t xml:space="preserve">Weeks 0 to 1: host n8n on an approved machine, share the chat link and a one-page guide, run a 30-minute session on reading the footer. Weeks 1 to 4: each PM uses Mira on one live project. Weekly review of REVIEW traces and a short survey (time saved, trust, errors). Week 5: go, change or stop against the charter targets (12 of 12 tests, no invented fact kept, USD 1 per user per month).</w:t>
      </w:r>
    </w:p>
    <w:sectPr>
      <w:headerReference w:type="default" r:id="rId6"/>
      <w:footerReference w:type="default" r:id="rId7"/>
      <w:pgSz w:w="11906" w:h="16838" w:orient="portrait"/>
      <w:pgMar w:top="1000" w:right="1000" w:bottom="850" w:left="1000" w:header="5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MIRA-Q4-001  |  v1.1 Updated  |  24 Oct 2026  |  Nexora Pvt. Ltd. capstone  |  Submitted by Santosh Rasputra</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Q4: Reflection and next steps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597"/>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Q4 capstone submission</dc:title>
  <dc:creator>Santosh Rasputra</dc:creator>
  <dc:description>MIRA-Q4-001</dc:description>
  <cp:lastModifiedBy>Santosh Rasputra</cp:lastModifiedBy>
  <cp:revision>1</cp:revision>
  <dcterms:created xsi:type="dcterms:W3CDTF">2026-10-18T09:11:52.316Z</dcterms:created>
  <dcterms:modified xsi:type="dcterms:W3CDTF">2026-10-18T09:11:52.326Z</dcterms:modified>
  <dc:subject>Applied Agentic AI for PMs/TPMs capstone</dc:subject>
</cp:coreProperties>
</file>

<file path=docProps/custom.xml><?xml version="1.0" encoding="utf-8"?>
<Properties xmlns="http://schemas.openxmlformats.org/officeDocument/2006/custom-properties" xmlns:vt="http://schemas.openxmlformats.org/officeDocument/2006/docPropsVTypes"/>
</file>