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8"/>
          <w:szCs w:val="38"/>
        </w:rPr>
        <w:t xml:space="preserve">Q1: Ideation of AI agent use cases</w:t>
      </w:r>
    </w:p>
    <w:p>
      <w:pPr>
        <w:pBdr>
          <w:bottom w:val="single" w:color="2F5597" w:sz="8" w:space="4"/>
        </w:pBdr>
        <w:spacing w:after="160"/>
      </w:pPr>
      <w:r>
        <w:rPr>
          <w:rFonts w:ascii="Calibri" w:cs="Calibri" w:eastAsia="Calibri" w:hAnsi="Calibri"/>
          <w:color w:val="2F5597"/>
          <w:sz w:val="22"/>
          <w:szCs w:val="22"/>
        </w:rPr>
        <w:t xml:space="preserve">Applied Agentic AI for PMs/TPMs</w:t>
      </w:r>
    </w:p>
    <w:p>
      <w:pPr>
        <w:spacing w:after="100" w:before="0" w:line="276"/>
      </w:pPr>
      <w:r>
        <w:rPr>
          <w:rFonts w:ascii="Calibri" w:cs="Calibri" w:eastAsia="Calibri" w:hAnsi="Calibri"/>
        </w:rPr>
        <w:t xml:space="preserve">Three use cases where AI agents raise PM and TPM productivity at Nexora. Each lists the pain point, the agent solution, inputs and outputs, 3 success metrics and the knowledge base needed. Time figures are planning assumptions to confirm with Nexora PMs, not measured data.</w:t>
      </w:r>
    </w:p>
    <w:p>
      <w:pPr>
        <w:pStyle w:val="Heading1"/>
      </w:pPr>
      <w:r>
        <w:rPr>
          <w:rFonts w:ascii="Calibri" w:cs="Calibri" w:eastAsia="Calibri" w:hAnsi="Calibri"/>
        </w:rPr>
        <w:t xml:space="preserve">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400"/>
        <w:gridCol w:w="3038"/>
      </w:tblGrid>
      <w:tr>
        <w:trPr>
          <w:cantSplit/>
          <w:tblHeader/>
        </w:trPr>
        <w:tc>
          <w:tcPr>
            <w:tcW w:type="dxa" w:w="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w:t>
            </w:r>
          </w:p>
        </w:tc>
        <w:tc>
          <w:tcPr>
            <w:tcW w:type="dxa" w:w="26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Use case</w:t>
            </w:r>
          </w:p>
        </w:tc>
        <w:tc>
          <w:tcPr>
            <w:tcW w:type="dxa" w:w="3400"/>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Agent</w:t>
            </w:r>
          </w:p>
        </w:tc>
        <w:tc>
          <w:tcPr>
            <w:tcW w:type="dxa" w:w="3038"/>
            <w:tcBorders>
              <w:top w:val="single" w:color="A6B2C5" w:sz="4"/>
              <w:left w:val="single" w:color="A6B2C5" w:sz="4"/>
              <w:bottom w:val="single" w:color="A6B2C5" w:sz="4"/>
              <w:right w:val="single" w:color="A6B2C5" w:sz="4"/>
            </w:tcBorders>
            <w:shd w:fill="D9E2F3" w:color="auto" w:val="clear"/>
            <w:tcMar>
              <w:top w:type="dxa" w:w="50"/>
              <w:left w:type="dxa" w:w="90"/>
              <w:bottom w:type="dxa" w:w="30"/>
              <w:right w:type="dxa" w:w="90"/>
            </w:tcMar>
          </w:tcPr>
          <w:p>
            <w:pPr>
              <w:spacing w:after="20"/>
            </w:pPr>
            <w:r>
              <w:rPr>
                <w:rFonts w:ascii="Calibri" w:cs="Calibri" w:eastAsia="Calibri" w:hAnsi="Calibri"/>
                <w:b/>
                <w:bCs/>
                <w:color w:val="1F3864"/>
                <w:sz w:val="19"/>
                <w:szCs w:val="19"/>
              </w:rPr>
              <w:t xml:space="preserve">Status</w:t>
            </w:r>
          </w:p>
        </w:tc>
      </w:tr>
      <w:tr>
        <w:trPr>
          <w:cantSplit w:val="off"/>
        </w:trPr>
        <w:tc>
          <w:tcPr>
            <w:tcW w:type="dxa" w:w="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Plans, risks and status reports from project data</w:t>
            </w:r>
          </w:p>
        </w:tc>
        <w:tc>
          <w:tcPr>
            <w:tcW w:type="dxa" w:w="3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Mira (Orchestrator, Planner, Risk Assessor, Status Reporter)</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Built in this capstone</w:t>
            </w:r>
          </w:p>
        </w:tc>
      </w:tr>
      <w:tr>
        <w:trPr>
          <w:cantSplit w:val="off"/>
        </w:trPr>
        <w:tc>
          <w:tcPr>
            <w:tcW w:type="dxa" w:w="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2</w:t>
            </w:r>
          </w:p>
        </w:tc>
        <w:tc>
          <w:tcPr>
            <w:tcW w:type="dxa" w:w="26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Blocker and milestone alerts, stakeholder updates</w:t>
            </w:r>
          </w:p>
        </w:tc>
        <w:tc>
          <w:tcPr>
            <w:tcW w:type="dxa" w:w="34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Milestone Tracker and Update Writer</w:t>
            </w:r>
          </w:p>
        </w:tc>
        <w:tc>
          <w:tcPr>
            <w:tcW w:type="dxa" w:w="30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Built as the extended capability</w:t>
            </w:r>
          </w:p>
        </w:tc>
      </w:tr>
      <w:tr>
        <w:trPr>
          <w:cantSplit w:val="off"/>
        </w:trPr>
        <w:tc>
          <w:tcPr>
            <w:tcW w:type="dxa" w:w="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3</w:t>
            </w:r>
          </w:p>
        </w:tc>
        <w:tc>
          <w:tcPr>
            <w:tcW w:type="dxa" w:w="26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Sprint retrospective and action-item follow-up</w:t>
            </w:r>
          </w:p>
        </w:tc>
        <w:tc>
          <w:tcPr>
            <w:tcW w:type="dxa" w:w="34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Retro Agent</w:t>
            </w:r>
          </w:p>
        </w:tc>
        <w:tc>
          <w:tcPr>
            <w:tcW w:type="dxa" w:w="30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Idea only, not built</w:t>
            </w:r>
          </w:p>
        </w:tc>
      </w:tr>
    </w:tbl>
    <w:p>
      <w:pPr>
        <w:pStyle w:val="Heading1"/>
      </w:pPr>
      <w:r>
        <w:rPr>
          <w:rFonts w:ascii="Calibri" w:cs="Calibri" w:eastAsia="Calibri" w:hAnsi="Calibri"/>
        </w:rPr>
        <w:t xml:space="preserve">Use case 1: Project plans, risk assessments and status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Pain point</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PM starts each project from a blank page and rebuilds the same plan, risk list and weekly report by hand from spreadsheets and documents. Reports differ by author. Facts get mistyped. Assumption: 2 to 4 hours per week per PM.</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Agent solution</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An Orchestrator reads the request and routes it. The Planner builds a phased plan from the project description and timeline. The Risk Assessor ties each risk in the register to the project and to board tasks. The Status Reporter writes the weekly report. Code computes counts, dates and the health rating; the model writes short narrative only; validators remove anything not in the files.</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Inputs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(text), timeline (CSV), risk register (CSV), task board (CSV), a free-text request, optional as-of date.</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Outputs</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Markdown plan with phases, milestones and information gaps; risk table by category with evidence; weekly status with tasks by status, blockers and a GREEN, AMBER or RED rating; a footer with grounding status, tokens and cost.</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Success metrics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Groundedness: 100% of plan objectives, phases and milestones trace to the source files.
2. Accuracy: 100% of counts, task lists and health ratings equal the board.
3. Time saved: report preparation falls from about 2 hours to under 15 minutes of review, measured with 10 PMs over 4 weeks.</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Knowledge base</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Project description, timeline, risk register and task board of each project. The Nexora plan template and status format, once supplied. No document search is needed for this volume of data.</w:t>
            </w:r>
          </w:p>
        </w:tc>
      </w:tr>
    </w:tbl>
    <w:p>
      <w:pPr>
        <w:pStyle w:val="Heading1"/>
      </w:pPr>
      <w:r>
        <w:rPr>
          <w:rFonts w:ascii="Calibri" w:cs="Calibri" w:eastAsia="Calibri" w:hAnsi="Calibri"/>
        </w:rPr>
        <w:t xml:space="preserve">Use case 2: Blocker and milestone alerts, stakeholder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Pain point</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Blocked and overdue tasks are found late, in meetings. Stakeholder emails are written from scratch each sprint, sometimes mention work that is not yet agreed, and take 30 to 60 minutes (assumption).</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Agent solution</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The Milestone Tracker flags tasks that are blocked, overdue or due within 7 days, and lists upcoming milestones with dates. The Update Writer drafts a sprint email in the tone for leadership, engineering or client, using only that sprint's tasks.</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Inputs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Task board, timeline, project start date, as-of date, sprint name, audience.</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Outputs</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Table of flagged tasks with reason and suggested action; milestone table with dates; an email with subject, greeting, body and closing.</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Success metrics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Detection: 100% of blocked and overdue tasks found, with no false ids.
2. Isolation: 0 mentions of tasks from other sprints in updates.
3. Edit rate: PMs change fewer than 20% of the words in the email before sending, sampled over 4 weeks.</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Knowledge base</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Task board with owners and due dates, the timeline, and past approved updates as tone examples (if Nexora shares them).</w:t>
            </w:r>
          </w:p>
        </w:tc>
      </w:tr>
    </w:tbl>
    <w:p>
      <w:pPr>
        <w:pStyle w:val="Heading1"/>
      </w:pPr>
      <w:r>
        <w:rPr>
          <w:rFonts w:ascii="Calibri" w:cs="Calibri" w:eastAsia="Calibri" w:hAnsi="Calibri"/>
        </w:rPr>
        <w:t xml:space="preserve">Use case 3: Sprint retrospective and action-item follow-up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Pain point</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Retrospective actions are written in notes and then forgotten. Nobody checks them against the next sprint's board.</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Agent solution</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 Retro Agent turns meeting notes into actions with an owner and a due date, compares them with the board at the start of each sprint, and reports which actions have no matching task.</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Inputs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Retrospective notes (text), task board, sprint calendar.</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Outputs</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Action list with owner and date; a follow-up report listing open, done and missing actions.</w:t>
            </w:r>
          </w:p>
        </w:tc>
      </w:tr>
      <w:tr>
        <w:trPr>
          <w:cantSplit w:val="off"/>
        </w:trPr>
        <w:tc>
          <w:tcPr>
            <w:tcW w:type="dxa" w:w="2000"/>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Success metrics</w:t>
            </w:r>
          </w:p>
        </w:tc>
        <w:tc>
          <w:tcPr>
            <w:tcW w:type="dxa" w:w="7638"/>
            <w:tcBorders>
              <w:top w:val="single" w:color="A6B2C5" w:sz="4"/>
              <w:left w:val="single" w:color="A6B2C5" w:sz="4"/>
              <w:bottom w:val="single" w:color="A6B2C5" w:sz="4"/>
              <w:right w:val="single" w:color="A6B2C5" w:sz="4"/>
            </w:tcBorders>
            <w:shd w:fill="FFFFFF"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1. Capture: 90% of agreed actions appear in the agent's list (checked against a human list).
2. Follow-through: share of retro actions closed within one sprint rises from an assumed 40% to 70%.
3. Owner accuracy: 95% of actions name the person stated in the notes, and unknown owners are marked UNKNOWN.</w:t>
            </w:r>
          </w:p>
        </w:tc>
      </w:tr>
      <w:tr>
        <w:trPr>
          <w:cantSplit w:val="off"/>
        </w:trPr>
        <w:tc>
          <w:tcPr>
            <w:tcW w:type="dxa" w:w="2000"/>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b/>
                <w:bCs/>
                <w:sz w:val="19"/>
                <w:szCs w:val="19"/>
              </w:rPr>
              <w:t xml:space="preserve">Knowledge base</w:t>
            </w:r>
          </w:p>
        </w:tc>
        <w:tc>
          <w:tcPr>
            <w:tcW w:type="dxa" w:w="7638"/>
            <w:tcBorders>
              <w:top w:val="single" w:color="A6B2C5" w:sz="4"/>
              <w:left w:val="single" w:color="A6B2C5" w:sz="4"/>
              <w:bottom w:val="single" w:color="A6B2C5" w:sz="4"/>
              <w:right w:val="single" w:color="A6B2C5" w:sz="4"/>
            </w:tcBorders>
            <w:shd w:fill="F7F9FC" w:color="auto" w:val="clear"/>
            <w:tcMar>
              <w:top w:type="dxa" w:w="50"/>
              <w:left w:type="dxa" w:w="90"/>
              <w:bottom w:type="dxa" w:w="30"/>
              <w:right w:type="dxa" w:w="90"/>
            </w:tcMar>
          </w:tcPr>
          <w:p>
            <w:pPr>
              <w:spacing w:after="40" w:line="252"/>
            </w:pPr>
            <w:r>
              <w:rPr>
                <w:rFonts w:ascii="Calibri" w:cs="Calibri" w:eastAsia="Calibri" w:hAnsi="Calibri"/>
                <w:sz w:val="19"/>
                <w:szCs w:val="19"/>
              </w:rPr>
              <w:t xml:space="preserve">Retrospective notes, team roster, task board. Notes may contain personal comments, so storage and access rules are needed (see the program charter).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F5597" w:sz="24"/>
              <w:bottom w:val="none" w:color="FFFFFF" w:sz="0"/>
              <w:right w:val="none" w:color="FFFFFF" w:sz="0"/>
            </w:tcBorders>
            <w:shd w:fill="F2F5FA" w:color="auto" w:val="clear"/>
            <w:tcMar>
              <w:top w:type="dxa" w:w="80"/>
              <w:left w:type="dxa" w:w="160"/>
              <w:bottom w:type="dxa" w:w="40"/>
              <w:right w:type="dxa" w:w="140"/>
            </w:tcMar>
          </w:tcPr>
          <w:p>
            <w:pPr>
              <w:spacing w:after="60" w:line="264"/>
            </w:pPr>
            <w:r>
              <w:rPr>
                <w:rFonts w:ascii="Calibri" w:cs="Calibri" w:eastAsia="Calibri" w:hAnsi="Calibri"/>
                <w:b/>
                <w:bCs/>
                <w:color w:val="2F5597"/>
                <w:sz w:val="20"/>
                <w:szCs w:val="20"/>
              </w:rPr>
              <w:t xml:space="preserve">Why use case 1 was chosen for the build  </w:t>
            </w:r>
            <w:r>
              <w:rPr>
                <w:rFonts w:ascii="Calibri" w:cs="Calibri" w:eastAsia="Calibri" w:hAnsi="Calibri"/>
                <w:sz w:val="20"/>
                <w:szCs w:val="20"/>
              </w:rPr>
              <w:t xml:space="preserve">The data is provided, the checks are objective (counts, ids, dates), and use case 2 reuses the same inputs. Use case 3 needs meeting notes that are not in the provided files.</w:t>
            </w:r>
          </w:p>
        </w:tc>
      </w:tr>
    </w:tbl>
    <w:sectPr>
      <w:headerReference w:type="default" r:id="rId6"/>
      <w:footerReference w:type="default" r:id="rId7"/>
      <w:pgSz w:w="11906" w:h="16838" w:orient="portrait"/>
      <w:pgMar w:top="1304" w:right="1134" w:bottom="1191" w:left="1134" w:header="567"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F5597" w:sz="6" w:space="4"/>
      </w:pBdr>
      <w:tabs>
        <w:tab w:val="right" w:pos="9638"/>
      </w:tabs>
    </w:pPr>
    <w:r>
      <w:rPr>
        <w:rFonts w:ascii="Calibri" w:cs="Calibri" w:eastAsia="Calibri" w:hAnsi="Calibri"/>
        <w:color w:val="1F2937"/>
        <w:sz w:val="16"/>
        <w:szCs w:val="16"/>
      </w:rPr>
      <w:t xml:space="preserve">MIRA-Q1-001  |  v1.0 Draft  |  18 Oct 2026  |  Nexora Pvt. Ltd. capstone</w:t>
    </w:r>
    <w:r>
      <w:rPr>
        <w:rFonts w:ascii="Calibri" w:cs="Calibri" w:eastAsia="Calibri" w:hAnsi="Calibri"/>
        <w:color w:val="1F2937"/>
        <w:sz w:val="16"/>
        <w:szCs w:val="16"/>
      </w:rPr>
      <w:t xml:space="preserve">	Page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PAGE</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r>
      <w:rPr>
        <w:rFonts w:ascii="Calibri" w:cs="Calibri" w:eastAsia="Calibri" w:hAnsi="Calibri"/>
        <w:color w:val="1F2937"/>
        <w:sz w:val="16"/>
        <w:szCs w:val="16"/>
      </w:rPr>
      <w:t xml:space="preserve"> of </w:t>
    </w:r>
    <w:r>
      <w:rPr>
        <w:rFonts w:ascii="Calibri" w:cs="Calibri" w:eastAsia="Calibri" w:hAnsi="Calibri"/>
        <w:color w:val="1F2937"/>
        <w:sz w:val="16"/>
        <w:szCs w:val="16"/>
      </w:rPr>
      <w:fldChar w:fldCharType="begin"/>
    </w:r>
    <w:r>
      <w:rPr>
        <w:rFonts w:ascii="Calibri" w:cs="Calibri" w:eastAsia="Calibri" w:hAnsi="Calibri"/>
        <w:color w:val="1F2937"/>
        <w:sz w:val="16"/>
        <w:szCs w:val="16"/>
      </w:rPr>
      <w:instrText xml:space="preserve">NUMPAGES</w:instrText>
    </w:r>
    <w:r>
      <w:rPr>
        <w:rFonts w:ascii="Calibri" w:cs="Calibri" w:eastAsia="Calibri" w:hAnsi="Calibri"/>
        <w:color w:val="1F2937"/>
        <w:sz w:val="16"/>
        <w:szCs w:val="16"/>
      </w:rPr>
      <w:fldChar w:fldCharType="separate"/>
    </w:r>
    <w:r>
      <w:rPr>
        <w:rFonts w:ascii="Calibri" w:cs="Calibri" w:eastAsia="Calibri" w:hAnsi="Calibri"/>
        <w:color w:val="1F2937"/>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F5597" w:sz="6" w:space="4"/>
      </w:pBdr>
      <w:tabs>
        <w:tab w:val="right" w:pos="9638"/>
      </w:tabs>
    </w:pPr>
    <w:r>
      <w:rPr>
        <w:rFonts w:ascii="Calibri" w:cs="Calibri" w:eastAsia="Calibri" w:hAnsi="Calibri"/>
        <w:b/>
        <w:bCs/>
        <w:color w:val="1F3864"/>
        <w:sz w:val="17"/>
        <w:szCs w:val="17"/>
      </w:rPr>
      <w:t xml:space="preserve">Mira: AI-Powered Project Intelligence Assistant</w:t>
    </w:r>
    <w:r>
      <w:rPr>
        <w:rFonts w:ascii="Calibri" w:cs="Calibri" w:eastAsia="Calibri" w:hAnsi="Calibri"/>
        <w:color w:val="1F2937"/>
        <w:sz w:val="17"/>
        <w:szCs w:val="17"/>
      </w:rPr>
      <w:t xml:space="preserve">	Q1: Ideation of AI agent use cases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90" w:before="200"/>
      <w:outlineLvl w:val="1"/>
    </w:pPr>
    <w:rPr>
      <w:rFonts w:ascii="Calibri" w:cs="Calibri" w:eastAsia="Calibri" w:hAnsi="Calibri"/>
      <w:b/>
      <w:bCs/>
      <w:color w:val="2F5597"/>
      <w:sz w:val="24"/>
      <w:szCs w:val="24"/>
    </w:rPr>
  </w:style>
  <w:style w:type="paragraph" w:styleId="Heading3">
    <w:name w:val="Heading 3"/>
    <w:basedOn w:val="Normal"/>
    <w:next w:val="Normal"/>
    <w:qFormat/>
    <w:pPr>
      <w:keepNext/>
      <w:spacing w:after="70" w:before="140"/>
      <w:outlineLvl w:val="2"/>
    </w:pPr>
    <w:rPr>
      <w:rFonts w:ascii="Calibri" w:cs="Calibri" w:eastAsia="Calibri" w:hAnsi="Calibri"/>
      <w:b/>
      <w:bCs/>
      <w:color w:val="1F2937"/>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Q1: Ideation of AI agent use cases</dc:title>
  <dc:creator>Project owner</dc:creator>
  <dc:description>MIRA-Q1-001</dc:description>
  <cp:lastModifiedBy>Un-named</cp:lastModifiedBy>
  <cp:revision>1</cp:revision>
  <dcterms:created xsi:type="dcterms:W3CDTF">2026-10-18T09:11:52.661Z</dcterms:created>
  <dcterms:modified xsi:type="dcterms:W3CDTF">2026-10-18T09:11:52.671Z</dcterms:modified>
</cp:coreProperties>
</file>

<file path=docProps/custom.xml><?xml version="1.0" encoding="utf-8"?>
<Properties xmlns="http://schemas.openxmlformats.org/officeDocument/2006/custom-properties" xmlns:vt="http://schemas.openxmlformats.org/officeDocument/2006/docPropsVTypes"/>
</file>