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8"/>
          <w:szCs w:val="38"/>
        </w:rPr>
        <w:t xml:space="preserve">Q1: Ideation of AI agent use cases</w:t>
      </w:r>
    </w:p>
    <w:p>
      <w:pPr>
        <w:pBdr>
          <w:bottom w:val="single" w:color="2F5597" w:sz="8" w:space="4"/>
        </w:pBdr>
        <w:spacing w:after="160"/>
      </w:pPr>
      <w:r>
        <w:rPr>
          <w:rFonts w:ascii="Calibri" w:cs="Calibri" w:eastAsia="Calibri" w:hAnsi="Calibri"/>
          <w:color w:val="2F5597"/>
          <w:sz w:val="22"/>
          <w:szCs w:val="22"/>
        </w:rPr>
        <w:t xml:space="preserve">Applied Agentic AI for PMs/TPMs</w:t>
      </w:r>
    </w:p>
    <w:p>
      <w:r>
        <w:rPr>
          <w:i/>
          <w:sz w:val="20"/>
        </w:rPr>
        <w:t>Submitted by Santosh Rasputra</w:t>
      </w:r>
    </w:p>
    <w:p>
      <w:pPr>
        <w:spacing w:after="100" w:before="0" w:line="276"/>
      </w:pPr>
      <w:r>
        <w:rPr>
          <w:rFonts w:ascii="Calibri" w:cs="Calibri" w:eastAsia="Calibri" w:hAnsi="Calibri"/>
        </w:rPr>
        <w:t xml:space="preserve">Three use cases where AI agents raise PM and TPM productivity at Nexora. Each lists the pain point, the agent solution, inputs and outputs, 3 success metrics and the knowledge base needed. Time figures are planning assumptions to confirm with Nexora PMs, not measured data.</w:t>
      </w:r>
    </w:p>
    <w:p>
      <w:pPr>
        <w:pStyle w:val="Heading1"/>
      </w:pPr>
      <w:r>
        <w:rPr>
          <w:rFonts w:ascii="Calibri" w:cs="Calibri" w:eastAsia="Calibri" w:hAnsi="Calibri"/>
        </w:rPr>
        <w:t xml:space="preserve">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400"/>
        <w:gridCol w:w="3038"/>
      </w:tblGrid>
      <w:tr>
        <w:trPr>
          <w:cantSplit/>
          <w:tblHeader/>
        </w:trPr>
        <w:tc>
          <w:tcPr>
            <w:tcW w:type="dxa" w:w="6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t>
            </w:r>
          </w:p>
        </w:tc>
        <w:tc>
          <w:tcPr>
            <w:tcW w:type="dxa" w:w="26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Use case</w:t>
            </w:r>
          </w:p>
        </w:tc>
        <w:tc>
          <w:tcPr>
            <w:tcW w:type="dxa" w:w="3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Agent</w:t>
            </w:r>
          </w:p>
        </w:tc>
        <w:tc>
          <w:tcPr>
            <w:tcW w:type="dxa" w:w="30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Status</w:t>
            </w:r>
          </w:p>
        </w:tc>
      </w:tr>
      <w:tr>
        <w:trPr>
          <w:cantSplit w:val="off"/>
        </w:trPr>
        <w:tc>
          <w:tcPr>
            <w:tcW w:type="dxa" w:w="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Plans, risks and status reports from project data</w:t>
            </w:r>
          </w:p>
        </w:tc>
        <w:tc>
          <w:tcPr>
            <w:tcW w:type="dxa" w:w="3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Mira (Orchestrator, Planner, Risk Assessor, Status Reporter)</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Built in this capstone</w:t>
            </w:r>
          </w:p>
        </w:tc>
      </w:tr>
      <w:tr>
        <w:trPr>
          <w:cantSplit w:val="off"/>
        </w:trPr>
        <w:tc>
          <w:tcPr>
            <w:tcW w:type="dxa" w:w="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Blocker and milestone alerts, stakeholder updates</w:t>
            </w:r>
          </w:p>
        </w:tc>
        <w:tc>
          <w:tcPr>
            <w:tcW w:type="dxa" w:w="3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Milestone Tracker and Update Writer</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Built as the extended capability</w:t>
            </w:r>
          </w:p>
        </w:tc>
      </w:tr>
      <w:tr>
        <w:trPr>
          <w:cantSplit w:val="off"/>
        </w:trPr>
        <w:tc>
          <w:tcPr>
            <w:tcW w:type="dxa" w:w="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retrospective and action-item follow-up</w:t>
            </w:r>
          </w:p>
        </w:tc>
        <w:tc>
          <w:tcPr>
            <w:tcW w:type="dxa" w:w="3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Retro Agent</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Idea only, not built</w:t>
            </w:r>
          </w:p>
        </w:tc>
      </w:tr>
    </w:tbl>
    <w:p>
      <w:pPr>
        <w:pStyle w:val="Heading1"/>
      </w:pPr>
      <w:r>
        <w:rPr>
          <w:rFonts w:ascii="Calibri" w:cs="Calibri" w:eastAsia="Calibri" w:hAnsi="Calibri"/>
        </w:rPr>
        <w:t xml:space="preserve">Use case 1: Project plans, risk assessments and status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Pain point</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PM starts each project from a blank page and rebuilds the same plan, risk list and weekly report by hand from spreadsheets and documents. Reports differ by author. Facts get mistyped. Assumption: 2 to 4 hours per week per PM.</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Agent solution</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Orchestrator reads the request and routes it. The Planner builds a phased plan from the project description and timeline. The Risk Assessor ties each risk in the register to the project and to board tasks. The Status Reporter writes the weekly report. Code computes counts, dates and the health rating; the model writes short narrative only; validators remove anything not in the files.</w:t>
            </w:r>
          </w:p>
        </w:tc>
      </w:tr>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Inputs</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(text), timeline (CSV), risk register (CSV), task board (CSV), a free-text request, optional as-of date.</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Outputs</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Markdown plan with phases, milestones and information gaps; risk table by category with evidence; weekly status with tasks by status, blockers and a GREEN, AMBER or RED rating; a footer with grounding status, tokens and cost.</w:t>
            </w:r>
          </w:p>
        </w:tc>
      </w:tr>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Success metrics</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 Groundedness: 100% of plan objectives, phases and milestones trace to the source files.
2. Accuracy: 100% of counts, task lists and health ratings equal the board.
3. Time saved: report preparation falls from about 2 hours to under 15 minutes of review, measured with 10 PMs over 4 weeks.</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Knowledge base</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timeline, risk register and task board of each project. The Nexora plan template and status format, once supplied. No document search is needed for this volume of data.</w:t>
            </w:r>
          </w:p>
        </w:tc>
      </w:tr>
    </w:tbl>
    <w:p>
      <w:pPr>
        <w:pStyle w:val="Heading1"/>
      </w:pPr>
      <w:r>
        <w:rPr>
          <w:rFonts w:ascii="Calibri" w:cs="Calibri" w:eastAsia="Calibri" w:hAnsi="Calibri"/>
        </w:rPr>
        <w:t xml:space="preserve">Use case 2: Blocker and milestone alerts, stakeholder updates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Pain point</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Blocked and overdue tasks are found late, in meetings. Stakeholder emails are written from scratch each sprint, sometimes mention work that is not yet agreed, and take 30 to 60 minutes (assumption).</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Agent solution</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Milestone Tracker flags tasks that are blocked, overdue or due within 7 days, and lists upcoming milestones with dates. The Update Writer drafts a sprint email in the tone for leadership, engineering or client, using only that sprint's tasks.</w:t>
            </w:r>
          </w:p>
        </w:tc>
      </w:tr>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Inputs</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Task board, timeline, project start date, as-of date, sprint name, audience.</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Outputs</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Table of flagged tasks with reason and suggested action; milestone table with dates; an email with subject, greeting, body and closing.</w:t>
            </w:r>
          </w:p>
        </w:tc>
      </w:tr>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Success metrics</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 Detection: 100% of blocked and overdue tasks found, with no false ids.
2. Isolation: 0 mentions of tasks from other sprints in updates.
3. Edit rate: PMs change fewer than 20% of the words in the email before sending, sampled over 4 weeks.</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Knowledge base</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Task board with owners and due dates, the timeline, and past approved updates as tone examples (if Nexora shares them).</w:t>
            </w:r>
          </w:p>
        </w:tc>
      </w:tr>
    </w:tbl>
    <w:p>
      <w:pPr>
        <w:pStyle w:val="Heading1"/>
      </w:pPr>
      <w:r>
        <w:rPr>
          <w:rFonts w:ascii="Calibri" w:cs="Calibri" w:eastAsia="Calibri" w:hAnsi="Calibri"/>
        </w:rPr>
        <w:t xml:space="preserve">Use case 3: Sprint retrospective and action-item follow-up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Pain point</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Retrospective actions are written in notes and then forgotten. Nobody checks them against the next sprint's board.</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Agent solution</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Retro Agent turns meeting notes into actions with an owner and a due date, compares them with the board at the start of each sprint, and reports which actions have no matching task.</w:t>
            </w:r>
          </w:p>
        </w:tc>
      </w:tr>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Inputs</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Retrospective notes (text), task board, sprint calendar.</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Outputs</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Action list with owner and date; a follow-up report listing open, done and missing actions.</w:t>
            </w:r>
          </w:p>
        </w:tc>
      </w:tr>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Success metrics</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 Capture: 90% of agreed actions appear in the agent's list (checked against a human list).
2. Follow-through: share of retro actions closed within one sprint rises from an assumed 40% to 70%.
3. Owner accuracy: 95% of actions name the person stated in the notes, and unknown owners are marked UNKNOWN.</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Knowledge base</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Retrospective notes, team roster, task board. Notes may contain personal comments, so storage and access rules are needed (see the program charter).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Why use case 1 was chosen for the build  </w:t>
            </w:r>
            <w:r>
              <w:rPr>
                <w:rFonts w:ascii="Calibri" w:cs="Calibri" w:eastAsia="Calibri" w:hAnsi="Calibri"/>
                <w:sz w:val="20"/>
                <w:szCs w:val="20"/>
              </w:rPr>
              <w:t xml:space="preserve">The data is provided, the checks are objective (counts, ids, dates), and use case 2 reuses the same inputs. Use case 3 needs meeting notes that are not in the provided files.</w:t>
            </w:r>
          </w:p>
        </w:tc>
      </w:tr>
    </w:tbl>
    <w:sectPr>
      <w:headerReference w:type="default" r:id="rId6"/>
      <w:footerReference w:type="default" r:id="rId7"/>
      <w:pgSz w:w="11906" w:h="16838" w:orient="portrait"/>
      <w:pgMar w:top="1304" w:right="1134" w:bottom="1191" w:left="1134" w:header="567"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597" w:sz="6" w:space="4"/>
      </w:pBdr>
      <w:tabs>
        <w:tab w:val="right" w:pos="9638"/>
      </w:tabs>
    </w:pPr>
    <w:r>
      <w:rPr>
        <w:rFonts w:ascii="Calibri" w:cs="Calibri" w:eastAsia="Calibri" w:hAnsi="Calibri"/>
        <w:color w:val="1F2937"/>
        <w:sz w:val="16"/>
        <w:szCs w:val="16"/>
      </w:rPr>
      <w:t>MIRA-Q1-001  |  v1.1 Updated  |  24 Oct 2026  |  Nexora Pvt. Ltd. capstone  |  Submitted by Santosh Rasputra</w:t>
    </w:r>
    <w:r>
      <w:rPr>
        <w:rFonts w:ascii="Calibri" w:cs="Calibri" w:eastAsia="Calibri" w:hAnsi="Calibri"/>
        <w:color w:val="1F2937"/>
        <w:sz w:val="16"/>
        <w:szCs w:val="16"/>
      </w:rPr>
      <w:t xml:space="preserve">	Page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PAGE</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r>
      <w:rPr>
        <w:rFonts w:ascii="Calibri" w:cs="Calibri" w:eastAsia="Calibri" w:hAnsi="Calibri"/>
        <w:color w:val="1F2937"/>
        <w:sz w:val="16"/>
        <w:szCs w:val="16"/>
      </w:rPr>
      <w:t xml:space="preserve"> of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NUMPAGES</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597" w:sz="6" w:space="4"/>
      </w:pBdr>
      <w:tabs>
        <w:tab w:val="right" w:pos="9638"/>
      </w:tabs>
    </w:pPr>
    <w:r>
      <w:rPr>
        <w:rFonts w:ascii="Calibri" w:cs="Calibri" w:eastAsia="Calibri" w:hAnsi="Calibri"/>
        <w:b/>
        <w:bCs/>
        <w:color w:val="1F3864"/>
        <w:sz w:val="17"/>
        <w:szCs w:val="17"/>
      </w:rPr>
      <w:t xml:space="preserve">Mira: AI-Powered Project Intelligence Assistant</w:t>
    </w:r>
    <w:r>
      <w:rPr>
        <w:rFonts w:ascii="Calibri" w:cs="Calibri" w:eastAsia="Calibri" w:hAnsi="Calibri"/>
        <w:color w:val="1F2937"/>
        <w:sz w:val="17"/>
        <w:szCs w:val="17"/>
      </w:rPr>
      <w:t xml:space="preserve">	Q1: Ideation of AI agent use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90" w:before="200"/>
      <w:outlineLvl w:val="1"/>
    </w:pPr>
    <w:rPr>
      <w:rFonts w:ascii="Calibri" w:cs="Calibri" w:eastAsia="Calibri" w:hAnsi="Calibri"/>
      <w:b/>
      <w:bCs/>
      <w:color w:val="2F5597"/>
      <w:sz w:val="24"/>
      <w:szCs w:val="24"/>
    </w:rPr>
  </w:style>
  <w:style w:type="paragraph" w:styleId="Heading3">
    <w:name w:val="Heading 3"/>
    <w:basedOn w:val="Normal"/>
    <w:next w:val="Normal"/>
    <w:qFormat/>
    <w:pPr>
      <w:keepNext/>
      <w:spacing w:after="70" w:before="140"/>
      <w:outlineLvl w:val="2"/>
    </w:pPr>
    <w:rPr>
      <w:rFonts w:ascii="Calibri" w:cs="Calibri" w:eastAsia="Calibri" w:hAnsi="Calibri"/>
      <w:b/>
      <w:bCs/>
      <w:color w:val="1F293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 Q1 capstone submission</dc:title>
  <dc:creator>Santosh Rasputra</dc:creator>
  <dc:description>MIRA-Q1-001</dc:description>
  <cp:lastModifiedBy>Santosh Rasputra</cp:lastModifiedBy>
  <cp:revision>1</cp:revision>
  <dcterms:created xsi:type="dcterms:W3CDTF">2026-10-18T06:25:17.251Z</dcterms:created>
  <dcterms:modified xsi:type="dcterms:W3CDTF">2026-10-18T06:25:17.256Z</dcterms:modified>
  <dc:subject>Applied Agentic AI for PMs/TPMs capstone</dc:subject>
</cp:coreProperties>
</file>

<file path=docProps/custom.xml><?xml version="1.0" encoding="utf-8"?>
<Properties xmlns="http://schemas.openxmlformats.org/officeDocument/2006/custom-properties" xmlns:vt="http://schemas.openxmlformats.org/officeDocument/2006/docPropsVTypes"/>
</file>