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/>
        <w:jc w:val="left"/>
        <w:rPr>
          <w:sz w:val="0"/>
          <w:szCs w:val="0"/>
        </w:rPr>
      </w:pPr>
      <w:r>
        <w:rPr>
          <w:rStyle w:val="5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2015-05-30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5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杨晨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zA5OTc4NDgxOA==&amp;mid=200508132&amp;idx=1&amp;sn=b29122dda86f0a33eeea75d5464335b5&amp;scene=19&amp;key=6735842d2697bed7a1f7ebbe93eda45da488c8c027d98d0888c5cb5f7bfb92411ca88590ba09af2d24bdcd517f8d24f1f0171a858b65ab95923e03198e247b891c571ce7765fdbdb683214206a62a873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color w:val="4395F5"/>
          <w:sz w:val="21"/>
          <w:szCs w:val="21"/>
          <w:u w:val="none"/>
          <w:bdr w:val="none" w:color="auto" w:sz="0" w:space="0"/>
        </w:rPr>
        <w:t>杨晨说网文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54"/>
          <w:szCs w:val="54"/>
          <w:bdr w:val="none" w:color="auto" w:sz="0" w:space="0"/>
          <w:shd w:val="clear" w:fill="FFFFFF"/>
        </w:rPr>
        <w:t>话少！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color w:val="3E3E3E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1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2018-02-08T23:00:23Z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