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АНО «Система долговременного ухода г. Тольятти»</w:t>
      </w:r>
    </w:p>
    <w:p>
      <w:pPr>
        <w:spacing w:after="5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Проект «Точка входа»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2"/>
          <w:szCs w:val="42"/>
        </w:rPr>
        <w:t xml:space="preserve">РЕШЕНИЯ СЛУЖБЫ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2E5496"/>
          <w:sz w:val="26"/>
          <w:szCs w:val="26"/>
        </w:rPr>
        <w:t xml:space="preserve">Ответы на шесть вопросов технического исследования релиза 3</w:t>
      </w:r>
    </w:p>
    <w:p>
      <w:pPr>
        <w:spacing w:after="82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Включая правила отнесения к маршрутам М1–М5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Редакция 1.0 · сентябрь 2026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Приложение: «Маршрутизация М1–М5 и решения» (Excel, 4 листа)</w:t>
      </w: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Тольятти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Что решено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Техническое исследование релиза 3 закончилось шестью вопросами, на которые не может ответить разработчик. Четыре из них уже имеют ответ в действующих документах проекта — его надо просто достать и записать. Пятый требует работы, и она сделана: правила маршрутизации написаны и проверены. Шестой держит запуск и требует юриста.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1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600"/>
        <w:gridCol w:w="3100"/>
        <w:gridCol w:w="3600"/>
        <w:gridCol w:w="1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Вопрос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Ответ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Статус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Правовое основание обработки сведений о здоровье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Согласие в письменной форме, п. 1 ч. 2 ст. 10. Двухступенчатая схема: электронное в боте, бумажное при первичном выезде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Держит запуск.</w:t>
            </w:r>
          </w:p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Нужен юрист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Кто оператор персональных данных</w:t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АНО «СДУТ» — навигационный сегмент, ТГКБ № 5 — медицинский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Решено разделом 3.3 дорожной карты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Срок хранения обращений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30 дней — незавершённая анкета, до закрытия плюс год — в работе, 3 года — закрытое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Готово к приказу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4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Сколько операторов одновременно</w:t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Один-два в первом релизе. База данных не нужна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Снимает 40 часов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5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Правила отнесения к маршрутам М1–М5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Написаны, проверены на 11 случаях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Готово к реализации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</w:t>
            </w:r>
          </w:p>
        </w:tc>
        <w:tc>
          <w:tcPr>
            <w:tcW w:type="dxa" w:w="3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Репозиторий открытый или закрытый</w:t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Открытый. Это часть открытого методического пакета III этапа</w:t>
            </w:r>
          </w:p>
        </w:tc>
        <w:tc>
          <w:tcPr>
            <w:tcW w:type="dxa" w:w="1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Решено, нужна защита от случайного коммита</w:t>
            </w:r>
          </w:p>
        </w:tc>
      </w:tr>
    </w:tbl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1. Правовое основание обработки сведений о здоровье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Это единственный из шести вопросов, который действительно держит запуск.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Почему пункт про медико-социальные услуги не подходит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Соблазн понятный: часть 2 статьи 10 Федерального закона № 152-ФЗ содержит пункт 4 — обработка в медико-профилактических целях, для установления медицинского диагноза, оказания медицинских и медико-социальных услуг. Слова «медико-социальные услуги» ложатся на нашу деятельность почти буквально.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 у пункта есть условие, и оно закрывает дорогу: обработка должна осуществляться лицом, профессионально занимающимся медицинской деятельностью и обязанным в соответствии с законодательством сохранять врачебную тайну. АНО «СДУТ» медицинской лицензии не имеет и субъектом врачебной тайны по статье 13 Федерального закона № 323-ФЗ не является. Для ТГКБ № 5 этот пункт работает. Для нас — нет.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Остальные пункты той же части тоже мимо. Пункт 2.3 отсылает к законодательству о государственной социальной помощи — это Федеральный закон № 178-ФЗ, а мы работаем в логике социального обслуживания по № 442-ФЗ; даже войдя в реестр поставщиков, АНО не становится субъектом 178-ФЗ. Пункт 3 — защита жизненно важных интересов, когда согласие получить невозможно, — годится для экстренного случая, но не для регулярного сбора анкет.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Что остаётся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Пункт 1 части 2 статьи 10: согласие субъекта в письменной форме. Универсальное основание, и другого у АНО нет.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Дальше начинается настоящий вопрос: как получить письменную форму в мессенджере. Часть 4 статьи 9 приравнивает к письменному согласию электронный документ, подписанный электронной подписью в соответствии с федеральным законом. Простая электронная подпись подписью является, но по части 2 статьи 6 Федерального закона № 63-ФЗ она приравнивается к собственноручной только в случаях, установленных федеральным законом или соглашением между участниками электронного взаимодействия. Нажатие кнопки в MAX — это простая электронная подпись без предварительного соглашения.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Предлагаемое решение: две ступени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Схема, которая работает при любой трактовке и не ломает главную ценность бота — то, что координатор звонит подготовленным.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Первая ступень — в боте. Экран согласия до первого вопроса, как уже реализовано. Фиксируются дата, версия текста и способ подтверждения. Этого достаточно, чтобы принять обращение и перезвонить.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Вторая ступень — при первичном выезде организатора ухода. Человек подписывает бумажное согласие. Выезд и так есть в процессе службы ухода, отдельного действия заводить не нужно.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Пока бумажного согласия нет, данные хранятся ограниченно — 30 дней. Не подтвердили за 30 дней — удаляются автоматически.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Смысл конструкции в том, что даже если электронное согласие оспорят, у организации есть бумага. А если не оспорят, вторая ступень всё равно нужна: она же служит информированием при очном контакте.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Что нужно от юриста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Текст согласия первой ступени со всеми сведениями, которые требует часть 4 статьи 9: наименование оператора, цель, перечень данных, перечень действий, срок, порядок отзыва.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Отдельный текст согласия на передачу данных в ТГКБ № 5 — раздел 3.3 дорожной карты требует отдельного пункта на передачу.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Форма бумажного согласия второй ступени.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Подтверждение или опровержение двухступенчатой схемы. Если юрист скажет, что достаточно одной бумажной ступени, — бот перестаёт собирать медицинскую часть, и анкета сокращается до навигационной.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 коде это одна константа. Механизм согласия построен так, что меняется только текст и его версия.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2. Кто оператор персональных данных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Вопрос уже решён и записан в разделе 3.3 дорожной карты: оператор навигационного сегмента — АНО «СДУТ», оператор медицинского сегмента — ГБУЗ СО «ТГКБ № 5». Отдельного решения принимать не нужно, нужно исполнить записанное.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Вариант с благотворительным фондом не рассматривается: грант Фонда президентских грантов, договоры и вся отчётность идут через АНО. Введение второго юридического лица в контур персональных данных создаст третьего оператора и третье уведомление вместо упрощения.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Что из этого следует практически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Уведомление в Роскомнадзор об обработке персональных данных подаёт АНО «СДУТ».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Соглашение с ТГКБ № 5 о порядке передачи между сегментами заключается до передачи первой карточки, а не после.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боте и в CRM медицинский сегмент помечается на уровне строки ответа — это уже заложено в схему данных технического плана.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Волонтёр-оператор горячей линии не должен видеть медицинский сегмент вообще. Это ограничение роли, а не договорённость.</w:t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3. Срок хранения обращений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Сроки определяются тремя обстоятельствами: контрольными звонками через 7 и 30 дней из раздела 6 дорожной карты, отчётностью по III этапу до декабря 2028 года и общим сроком исковой давности.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200"/>
        <w:gridCol w:w="1900"/>
        <w:gridCol w:w="39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Что хранится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Срок</w:t>
            </w:r>
          </w:p>
        </w:tc>
        <w:tc>
          <w:tcPr>
            <w:tcW w:type="dxa" w:w="3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Что происходит потом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Незавершённая анкета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30 дней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Удаляется полностью. Человек начал и не вернулся — держать его данные не на чем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Обращение в работе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До закрытия плюс 1 год</w:t>
            </w:r>
          </w:p>
        </w:tc>
        <w:tc>
          <w:tcPr>
            <w:tcW w:type="dxa" w:w="3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Нужно для контрольных звонков и для разбора, если случай вернётся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Закрытое обращение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 года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Обезличивание: остаётся статистика для отчётности, имена и телефоны стираются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Журнал доступа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 года</w:t>
            </w:r>
          </w:p>
        </w:tc>
        <w:tc>
          <w:tcPr>
            <w:tcW w:type="dxa" w:w="3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Удаляется. Это доказательство правомерности обработки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Согласия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 года после отзыва</w:t>
            </w:r>
          </w:p>
        </w:tc>
        <w:tc>
          <w:tcPr>
            <w:tcW w:type="dxa" w:w="39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Удаляются. Хранить дольше нечем обосновать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Данные без бумажного подтверждения</w:t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30 дней</w:t>
            </w:r>
          </w:p>
        </w:tc>
        <w:tc>
          <w:tcPr>
            <w:tcW w:type="dxa" w:w="39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Удаляются, если вторая ступень согласия не получена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Сроки утверждаются приказом по организации, а в коде существуют как задание по расписанию, которое реально удаляет строки. Политика хранения, которую никто не исполняет, хуже её отсутствия: она создаёт письменное доказательство нарушения.</w:t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4. Сколько операторов работает одновременно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Вопрос стоит сорок часов разработки, поэтому отвечу подробно.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Раздел 4 дорожной карты предусматривает обучение не менее восьми волонтёров-операторов. Цифра выглядит пугающе для файлового хранилища, но волонтёры обучаются для горячей линии — то есть для телефона. В CRM они не работают: их задача принять звонок по скрипту и передать координатору, а это записано и в матрице ролей раздела 3.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первом релизе в CRM работают один-два человека: координатор и, возможно, помощник. Файловое хранилище это выдерживает — запись атомарная, состояние переживает перезапуск, гонок нет, потому что писать больше некому.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Порог, после которого база данных обязательна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Три условия, любое из которых означает переход на PostgreSQL: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Третий человек начинает работать в CRM одновременно с двумя первыми.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Бот запускается более чем в одном процессе — например, вебхук под несколькими воркерами.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базе накапливается около тысячи обращений. По целевым индикаторам раздела 7 это конец 2027 года.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Порог записывается в регламент эксплуатации и проверяется раз в месяц вместе с резервным копированием. Без этой проверки про него забудут ровно до первого потерянного обращения — а потеря обращения в этом проекте означает, что человек попросил помощи и не получил её.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5. Правила отнесения к маршрутам М1–М5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Это была самая большая работа из шести, потому что здесь надо было перевести словесные описания раздела 2.2 дорожной карты в правила, которые можно запрограммировать. Полная версия — на листе «Маршруты М1–М5» приложенного файла.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5.1. Принцип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Маршрут предлагается, а не назначается. Правило считает признаки и показывает координатору вариант с основанием; решение принимает человек и фиксирует его. Причина проста: ошибка маршрутизации в этом проекте означает, что паллиативный пациент попадёт в общую терапию — ровно та проблема, ради которой «Точка входа» и строится.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Правила проверяются сверху вниз, первое сработавшее даёт маршрут. Порядок отражает приоритет: сначала жизнь, потом сложность, потом объём.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5.2. Очерёдность правил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5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800"/>
        <w:gridCol w:w="750"/>
        <w:gridCol w:w="3400"/>
        <w:gridCol w:w="4100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Оче-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рёдь</w:t>
            </w:r>
          </w:p>
        </w:tc>
        <w:tc>
          <w:tcPr>
            <w:tcW w:type="dxa" w:w="75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Марш-</w:t>
            </w:r>
          </w:p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рут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Условие</w:t>
            </w:r>
          </w:p>
        </w:tc>
        <w:tc>
          <w:tcPr>
            <w:tcW w:type="dxa" w:w="4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Куда направляем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0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СМП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flags содержит «Резко хуже», «Тяжело дышит» или «Спутанность»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Маршрут не назначается. Бот уже показал текст остановки и номер 103. Координатор звонит в течение часа</w:t>
            </w:r>
          </w:p>
        </w:tc>
      </w:tr>
      <w:tr>
        <w:tc>
          <w:tcPr>
            <w:tcW w:type="dxa" w:w="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7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status = «Паллиативный статус» ИЛИ pain = «Постоянная» ИЛИ devices содержит «Трахеостома» ИЛИ skin = «Открытая рана»</w:t>
            </w:r>
          </w:p>
        </w:tc>
        <w:tc>
          <w:tcPr>
            <w:tcW w:type="dxa" w:w="4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Отделение ПМП ТГКБ № 5 или паллиативный кабинет поликлиники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М5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Затронуто три и более сферы, либо две сферы при утрате трёх и более параметров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ТКЦ, ТГКБ № 5, администрация</w:t>
            </w:r>
          </w:p>
        </w:tc>
      </w:tr>
      <w:tr>
        <w:tc>
          <w:tcPr>
            <w:tcW w:type="dxa" w:w="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</w:t>
            </w:r>
          </w:p>
        </w:tc>
        <w:tc>
          <w:tcPr>
            <w:tcW w:type="dxa" w:w="7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М3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Утрачено три и более параметра самообслуживания из восьми</w:t>
            </w:r>
          </w:p>
        </w:tc>
        <w:tc>
          <w:tcPr>
            <w:tcW w:type="dxa" w:w="4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ТКЦ СДУ; до его создания — минсоцдемографии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4</w:t>
            </w:r>
          </w:p>
        </w:tc>
        <w:tc>
          <w:tcPr>
            <w:tcW w:type="dxa" w:w="75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М2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Утрачено один-два параметра, есть ухаживающий, медицинских признаков нет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Органы соцзащиты, КЦСОН</w:t>
            </w:r>
          </w:p>
        </w:tc>
      </w:tr>
      <w:tr>
        <w:tc>
          <w:tcPr>
            <w:tcW w:type="dxa" w:w="8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5</w:t>
            </w:r>
          </w:p>
        </w:tc>
        <w:tc>
          <w:tcPr>
            <w:tcW w:type="dxa" w:w="75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Противоречия в ответах, ранняя остановка анкеты, «Не знаю с чего», обращение от специалиста</w:t>
            </w:r>
          </w:p>
        </w:tc>
        <w:tc>
          <w:tcPr>
            <w:tcW w:type="dxa" w:w="4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Эксперты ТКЦ</w:t>
            </w:r>
          </w:p>
        </w:tc>
      </w:tr>
    </w:tbl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5.3. Восемь параметров самообслуживания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Раздел 2.2 дорожной карты определяет долговременный уход как значительную утрату самообслуживания по трём и более параметрам, называя мобильность, гигиену и питание. В анкете эти три области распадаются на восемь измеримых параметров — считаются они, а порог остаётся прежним.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600"/>
        <w:gridCol w:w="3200"/>
        <w:gridCol w:w="42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Вопрос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Ответы, считающиеся утратой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Почему именно эти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«Кресло-коляска», «Не встаёт»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Основной параметр мобильности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turning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«Нужна помощь», «Переворачиваем»</w:t>
            </w:r>
          </w:p>
        </w:tc>
        <w:tc>
          <w:tcPr>
            <w:tcW w:type="dxa" w:w="4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Невозможность повернуться самому определяет риск пролежней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eating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«Кормим с ложки», «Через зонд»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Питание утрачено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drinking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«Надо поить», «Поперхивается»</w:t>
            </w:r>
          </w:p>
        </w:tc>
        <w:tc>
          <w:tcPr>
            <w:tcW w:type="dxa" w:w="4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Поперхивание отдельно: консистенцию определяет врач, а не родственник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hygiene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«Моем мы»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Мытьё выполняется другим человеком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toilet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«Судно, кресло», «Подгузники»</w:t>
            </w:r>
          </w:p>
        </w:tc>
        <w:tc>
          <w:tcPr>
            <w:tcW w:type="dxa" w:w="4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Утрата контроля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dressing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«Одеваем мы»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Одевание выполняется другим человеком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alone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«Оставлять нельзя»</w:t>
            </w:r>
          </w:p>
        </w:tc>
        <w:tc>
          <w:tcPr>
            <w:tcW w:type="dxa" w:w="4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Круглосуточная нагрузка на семью</w:t>
            </w:r>
          </w:p>
        </w:tc>
      </w:tr>
    </w:tbl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5.4. Медицинские признаки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1600"/>
        <w:gridCol w:w="3400"/>
        <w:gridCol w:w="4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Вопрос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Ответы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Что это значит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«Паллиативный статус»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Статус уже оформлен, маршрут определён без вычислений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pain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«Постоянная»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Требует медикаментозного контроля — прямой признак М1 по разделу 2.2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devices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«Трахеостома», «Через зонд», «Мочевой катетер», «Калоприёмник»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Требуют допуска по ТК-СДУ-008 и участия медсестры</w:t>
            </w:r>
          </w:p>
        </w:tc>
      </w:tr>
      <w:tr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skin</w:t>
            </w:r>
          </w:p>
        </w:tc>
        <w:tc>
          <w:tcPr>
            <w:tcW w:type="dxa" w:w="3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«Открытая рана»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Пролежень второй стадии и глубже, компетенция медсестры, СОП-МЕД-009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meds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«Бывают пропуски»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Повод для медицинского контроля, но сам по себе не М1</w:t>
            </w:r>
          </w:p>
        </w:tc>
      </w:tr>
    </w:tbl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5.5. Противоречия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Отдельная ветка, которой не было в исходном описании маршрутов, но без неё правила ломаются на реальных анкетах. Если ответы несовместимы, уровень нуждаемости по такой анкете считать нельзя: либо заполняли невнимательно, либо ситуация сложнее, чем видно. Такое обращение уходит в М4 независимо от остальных признаков.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2700"/>
        <w:gridCol w:w="2700"/>
        <w:gridCol w:w="3600"/>
      </w:tblGrid>
      <w:tr>
        <w:trPr>
          <w:tblHeader/>
        </w:trPr>
        <w:tc>
          <w:tcPr>
            <w:tcW w:type="dxa" w:w="2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Первый ответ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Второй ответ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Почему несовместимо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 = «Ходит сам»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toilet = «Подгузники»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человек ходит сам, но пользуется подгузниками</w:t>
            </w:r>
          </w:p>
        </w:tc>
      </w:tr>
      <w:tr>
        <w:tc>
          <w:tcPr>
            <w:tcW w:type="dxa" w:w="2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 = «Ходит сам»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hygiene = «Моем мы»</w:t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человек ходит сам, но его моют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 = «Ходит сам»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eating = «Кормим с ложки»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человек ходит сам, но его кормят с ложки</w:t>
            </w:r>
          </w:p>
        </w:tc>
      </w:tr>
      <w:tr>
        <w:tc>
          <w:tcPr>
            <w:tcW w:type="dxa" w:w="2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 = «Не встаёт»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toilet = «Ходит сам»</w:t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человек не встаёт, но ходит в туалет сам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alone = «Да, на день»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speech = «Не отвечает»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человека оставляют на день, но он не отвечает на речь</w:t>
            </w:r>
          </w:p>
        </w:tc>
      </w:tr>
      <w:tr>
        <w:tc>
          <w:tcPr>
            <w:tcW w:type="dxa" w:w="2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caregiver = «Почти никто»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hours = «Круглосуточно»</w:t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ухаживать некому, но уход занимает круглые сутки</w:t>
            </w:r>
          </w:p>
        </w:tc>
      </w:tr>
      <w:tr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turning = «Да, сам»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mobility = «Не встаёт»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человек не встаёт, но поворачивается сам</w:t>
            </w:r>
          </w:p>
        </w:tc>
      </w:tr>
    </w:tbl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5.6. Проверка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Правила прогнаны на одиннадцати случаях, собранных так, чтобы задеть каждую ветку. Все разобраны верно. Эти же случаи должны стать тестами при реализации.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3600"/>
        <w:gridCol w:w="1100"/>
        <w:gridCol w:w="1100"/>
        <w:gridCol w:w="32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Случай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Ждём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Дано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Основание, которое видит координатор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Задыхается, вызвана тревога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СМП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СМП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Экстренные признаки в ответе на вопрос «Что беспокоит прямо сейчас»: Тяжело дышит, Боль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Паллиативный статус оформлен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Паллиативные признаки: status; утрачено параметров: 3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Постоянная боль без статуса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Паллиативные признаки: pain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Пролежень с открытой раной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М1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Паллиативные признаки: skin; утрачено параметров: 3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Лежачий, ухода нет, семья на пределе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М5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Затронуто сфер: опека, оформление статуса, поддержка семьи, соцзащита; утрачено параметров…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Тяжёлый уход, всё оформлено, семья справляется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М3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М3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Утрачено параметров самообслуживания: 4 — mobility, turning, hygiene, toilet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Нужна помощь с мытьём, дочь рядом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М2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М2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Частичная утрата (1 параметра), уход обеспечен: Родные, приезжают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Остановился после седьмого вопроса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анкета остановлена после 7-го вопроса; признаков утраты и медицинских признаков нет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Не знает, с чего начать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запрос не сформулирован; признаков утраты и медицинских признаков нет</w:t>
            </w:r>
          </w:p>
        </w:tc>
      </w:tr>
      <w:tr>
        <w:tc>
          <w:tcPr>
            <w:tcW w:type="dxa" w:w="3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Обращение от участкового терапевта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11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обращение от специалиста; признаков утраты и медицинских признаков нет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Противоречие: ходит сам, но подгузники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М4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Ответы противоречат друг другу: человек ходит сам, но пользуется подгузниками. Уровень нуж…</w:t>
            </w:r>
          </w:p>
        </w:tc>
      </w:tr>
    </w:tbl>
    <w:p>
      <w:pPr>
        <w:spacing w:after="200" w:before="60"/>
      </w:pPr>
      <w:r>
        <w:rPr>
          <w:rFonts w:ascii="Times New Roman" w:cs="Times New Roman" w:eastAsia="Times New Roman" w:hAnsi="Times New Roman"/>
          <w:i/>
          <w:iCs/>
          <w:color w:val="555555"/>
          <w:sz w:val="17"/>
          <w:szCs w:val="17"/>
        </w:rPr>
        <w:t xml:space="preserve">Полный вывод правил с сопутствующими маршрутами — на листе «Проверка правил» приложенного файла.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5.7. Что делать дальше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Правила написаны по описанию, а не по практике, и это их слабое место. Первые двадцать реальных обращений координатор проходит вручную: смотрит, что предложило правило, что он назначил сам, и почему разошлось. Расхождения разбираются на круглом столе, правила правятся. После этого можно доверять.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Раздел 5 дорожной карты предусматривает круглые столы № 1 и № 2 именно для разбора барьеров и доработки алгоритмов — эта работа туда и ложится.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6. Репозиторий: открытый или закрытый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Оставить открытым, и это не компромисс, а следование собственному плану.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III этап дорожной карты прямо предусматривает подготовку открытого методического пакета — скрипты, алгоритмы, маршруты, формы — и рекомендации по тиражированию. Код анкеты вместе с клиническими правилами является частью этого пакета, а не секретом, который он раскрывает. Организация, которая захочет повторить «Точку входа» в другом городе, должна получить работающий сценарий, а не описание сценария.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Есть и практический довод. Открытый репозиторий с историей коммитов — это доказательство авторства и объёма работы, которое пригодится и при постановке программы на баланс, и при регистрации в Роспатенте, и в грантовой отчётности.</w:t>
      </w:r>
    </w:p>
    <w:p>
      <w:pPr>
        <w:pStyle w:val="Heading2"/>
        <w:spacing w:after="130" w:before="280"/>
      </w:pPr>
      <w:r>
        <w:rPr>
          <w:rFonts w:ascii="Times New Roman" w:cs="Times New Roman" w:eastAsia="Times New Roman" w:hAnsi="Times New Roman"/>
          <w:b/>
          <w:bCs/>
          <w:color w:val="2E5496"/>
          <w:sz w:val="24"/>
          <w:szCs w:val="24"/>
        </w:rPr>
        <w:t xml:space="preserve">Где реальный риск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Не в открытости кода, а в случайном коммите. Токен бота, файл survey_responses.json с именами и телефонами, база CRM — попадание любого из них в публичную историю не отменяется удалением файла: он остаётся в истории навсегда. Проверено: за все 22 коммита ветки ни один секрет и ни один файл с данными людей в историю не попал. Это удача плюс аккуратный .gitignore, и на удачу дальше полагаться не стоит.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333333"/>
          <w:sz w:val="22"/>
          <w:szCs w:val="22"/>
        </w:rPr>
        <w:t xml:space="preserve">Что сделать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Проверка перед коммитом, которая отказывает при попытке добавить token.txt, файлы с данными и .crm_secret.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Токен только в переменной окружения на боевом сервере. Файл token.txt оставить для запуска на ноутбуке.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Разделение в голове и в .gitignore: код открыт всегда, данные и конфигурация — никогда.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Перед публикацией методического пакета — отдельная проверка истории на секреты сканером.</w:t>
      </w:r>
    </w:p>
    <w:p>
      <w:r>
        <w:br w:type="page"/>
      </w:r>
    </w:p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Что делать дальше</w:t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Пять из шести вопросов закрыты этим документом. Один требует юриста, и с него начинается календарь.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91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600"/>
        <w:gridCol w:w="5400"/>
        <w:gridCol w:w="1500"/>
        <w:gridCol w:w="16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№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Действие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Срок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5"/>
                <w:szCs w:val="15"/>
              </w:rPr>
              <w:t xml:space="preserve">Кто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Утвердить решением Учредителя ответы на вопросы 2, 3, 4 и 6 — они не требуют внешней экспертизы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15.09.2026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Директор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Передать юристу вопрос 1 с этим документом: подтвердить двухступенчатую схему, подготовить три текста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15.09.2026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Директор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Приказ о сроках хранения персональных данных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20.09.2026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Директор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4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Уведомление в Роскомнадзор от АНО «СДУТ»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30.09.2026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Директор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5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Реализовать правила маршрутизации в коде вместе с одиннадцатью тестами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10.10.2026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Разработка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6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Добавить проверку перед коммитом на секреты и файлы данных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20.09.2026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Разработка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7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Записать в регламент порог перехода на базу данных и поставить ежемесячную проверку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25.09.2026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Координатор</w:t>
            </w:r>
          </w:p>
        </w:tc>
      </w:tr>
      <w:tr>
        <w:tc>
          <w:tcPr>
            <w:tcW w:type="dxa" w:w="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8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Соглашение с ТГКБ № 5 о порядке передачи между сегментами данных</w:t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31.10.2026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Директор</w:t>
            </w:r>
          </w:p>
        </w:tc>
      </w:tr>
      <w:tr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9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Пройти правила маршрутизации на первых двадцати реальных обращениях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по мере поступления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Координатор</w:t>
            </w:r>
          </w:p>
        </w:tc>
      </w:tr>
    </w:tbl>
    <w:p>
      <w:pPr>
        <w:pStyle w:val="Heading1"/>
        <w:spacing w:after="180" w:before="340"/>
      </w:pPr>
      <w:r>
        <w:rPr>
          <w:rFonts w:ascii="Times New Roman" w:cs="Times New Roman" w:eastAsia="Times New Roman" w:hAnsi="Times New Roman"/>
          <w:b/>
          <w:bCs/>
          <w:color w:val="1F3864"/>
          <w:sz w:val="29"/>
          <w:szCs w:val="29"/>
        </w:rPr>
        <w:t xml:space="preserve">Источники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№ 152-ФЗ: ст. 9 ч. 4 (равнозначность электронного согласия письменному), ст. 10 ч. 1 (специальные категории), ст. 10 ч. 2 п. 1 (письменное согласие), п. 2.3 (законодательство о государственной социальной помощи), п. 3 (защита жизненно важных интересов), п. 4 (медико-профилактические цели и врачебная тайна)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№ 63-ФЗ «Об электронной подписи»: ст. 5 (виды подписи), ст. 6 ч. 2 (условия равнозначности простой электронной подписи собственноручной)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Федеральный закон № 323-ФЗ, ст. 13 — врачебная тайна и круг лиц, обязанных её хранить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Дорожная карта проекта «Точка входа»: раздел 2.2 (маршруты М1–М5), раздел 3 (матрица ролей), раздел 3.3 (разделение сегментов данных), раздел 4 (волонтёры-операторы), раздел 5 (круглые столы), раздел 6 (контрольные звонки), раздел 7 (целевые индикаторы), III этап (открытый методический пакет)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Приказ Минтруда России № 731 от 23.12.2025 — уровни нуждаемости и оценка потребности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документов СДУТ v1.2: ТК-СДУ-008 (стома и катетер), СОП-МЕД-009 (уход за пролежнями)</w:t>
      </w:r>
    </w:p>
    <w:p>
      <w:pPr>
        <w:pStyle w:val="ListParagraph"/>
        <w:numPr>
          <w:ilvl w:val="0"/>
          <w:numId w:val="3"/>
        </w:numPr>
        <w:spacing w:after="9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Код бота: ветка claude/chat-bot-survey-publik-nq2w1s, файл survey_questions.py — 29 вопросов с идентификаторами и вариантами ответов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Правила маршрутизации реализованы и прогнаны программно. Исходный код правил вместе с одиннадцатью проверочными случаями готов к переносу в бот.</w:t>
      </w:r>
    </w:p>
    <w:sectPr>
      <w:footerReference w:type="default" r:id="rId7"/>
      <w:pgSz w:w="11906" w:h="16838" w:orient="portrait"/>
      <w:pgMar w:top="1000" w:right="9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Решения службы по вопросам релиза 3</dc:title>
  <dc:creator>АНО «СДУТ»</dc:creator>
  <dc:description>Ответы на шесть вопросов технического исследования, включая правила маршрутизации М1–М5</dc:description>
  <cp:lastModifiedBy>Un-named</cp:lastModifiedBy>
  <cp:revision>1</cp:revision>
  <dcterms:created xsi:type="dcterms:W3CDTF">2026-09-08T03:19:01.150Z</dcterms:created>
  <dcterms:modified xsi:type="dcterms:W3CDTF">2026-09-08T03:19:01.164Z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