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403c06e0940cfed8e4e5f168822c5369ea1dda3"/>
    <w:p>
      <w:pPr>
        <w:pStyle w:val="Heading1"/>
      </w:pPr>
      <w:r>
        <w:rPr>
          <w:b/>
          <w:bCs/>
        </w:rPr>
        <w:t xml:space="preserve">Tariff Engineering and HTS Code Optimization in U.S. Customs</w:t>
      </w:r>
    </w:p>
    <w:p>
      <w:pPr>
        <w:pStyle w:val="FirstParagraph"/>
      </w:pPr>
    </w:p>
    <w:p>
      <w:pPr>
        <w:pStyle w:val="BodyText"/>
      </w:pPr>
    </w:p>
    <w:p>
      <w:pPr>
        <w:pStyle w:val="BodyText"/>
      </w:pPr>
    </w:p>
    <w:bookmarkStart w:id="20" w:name="X84dc502b3879d2051f039e4f0a2d66691c7a4b1"/>
    <w:p>
      <w:pPr>
        <w:pStyle w:val="Heading2"/>
      </w:pPr>
      <w:r>
        <w:rPr>
          <w:b/>
          <w:bCs/>
        </w:rPr>
        <w:t xml:space="preserve">Introduction to Tariff Engineering and HTS Classification</w:t>
      </w:r>
    </w:p>
    <w:p>
      <w:pPr>
        <w:pStyle w:val="FirstParagraph"/>
      </w:pPr>
    </w:p>
    <w:p>
      <w:pPr>
        <w:pStyle w:val="BodyText"/>
      </w:pPr>
    </w:p>
    <w:p>
      <w:pPr>
        <w:pStyle w:val="BodyText"/>
      </w:pPr>
      <w:r>
        <w:t xml:space="preserve">Tariff engineering is a</w:t>
      </w:r>
      <w:r>
        <w:t xml:space="preserve"> </w:t>
      </w:r>
      <w:r>
        <w:rPr>
          <w:b/>
          <w:bCs/>
        </w:rPr>
        <w:t xml:space="preserve">legal strategy</w:t>
      </w:r>
      <w:r>
        <w:t xml:space="preserve"> </w:t>
      </w:r>
      <w:r>
        <w:t xml:space="preserve">that importers use to minimize duties by carefully choosing how a product is classified under the U.S. Harmonized Tariff Schedule (HTS) . In practice, this means</w:t>
      </w:r>
      <w:r>
        <w:t xml:space="preserve"> </w:t>
      </w:r>
      <w:r>
        <w:rPr>
          <w:b/>
          <w:bCs/>
        </w:rPr>
        <w:t xml:space="preserve">designing or modifying products</w:t>
      </w:r>
      <w:r>
        <w:t xml:space="preserve"> </w:t>
      </w:r>
      <w:r>
        <w:t xml:space="preserve">so they fall under alternative HTS codes with lower duty rates – all while staying compliant with customs laws. The HTS is an extensive codebook of product categories and duty rates, and knowing its intricacies can reveal surprising opportunities to save on import taxes . Crucially, tariff engineering operates</w:t>
      </w:r>
      <w:r>
        <w:t xml:space="preserve"> </w:t>
      </w:r>
      <w:r>
        <w:rPr>
          <w:b/>
          <w:bCs/>
        </w:rPr>
        <w:t xml:space="preserve">within legal boundaries</w:t>
      </w:r>
      <w:r>
        <w:t xml:space="preserve">: an item must genuinely meet the criteria of any HTS classification used. Misclassification (declaring an incorrect code without basis) is illegal and can lead to hefty penalties . However,</w:t>
      </w:r>
      <w:r>
        <w:t xml:space="preserve"> </w:t>
      </w:r>
      <w:r>
        <w:rPr>
          <w:b/>
          <w:bCs/>
        </w:rPr>
        <w:t xml:space="preserve">if done legitimately</w:t>
      </w:r>
      <w:r>
        <w:t xml:space="preserve">, tariff engineering is fully permitted. The U.S. Supreme Court as far back as the 19th century affirmed that importers may</w:t>
      </w:r>
      <w:r>
        <w:t xml:space="preserve"> </w:t>
      </w:r>
      <w:r>
        <w:rPr>
          <w:b/>
          <w:bCs/>
        </w:rPr>
        <w:t xml:space="preserve">alter products’ characteristics to obtain a favorable classification</w:t>
      </w:r>
      <w:r>
        <w:t xml:space="preserve">, establishing the principle that such strategies are lawful . Today, with complex tariffs (including extra duties like Section 301 China tariffs), the stakes are higher – making smart classification choices more important than ever .</w:t>
      </w:r>
    </w:p>
    <w:p>
      <w:pPr>
        <w:pStyle w:val="BodyText"/>
      </w:pPr>
    </w:p>
    <w:p>
      <w:pPr>
        <w:pStyle w:val="BodyText"/>
      </w:pPr>
    </w:p>
    <w:bookmarkEnd w:id="20"/>
    <w:bookmarkStart w:id="21" w:name="X46c879daf80fbe7c5fca15a90cbd7ee03244b0c"/>
    <w:p>
      <w:pPr>
        <w:pStyle w:val="Heading2"/>
      </w:pPr>
      <w:r>
        <w:rPr>
          <w:b/>
          <w:bCs/>
        </w:rPr>
        <w:t xml:space="preserve">Real-World Examples of Tariff Engineering</w:t>
      </w:r>
    </w:p>
    <w:p>
      <w:pPr>
        <w:pStyle w:val="FirstParagraph"/>
      </w:pPr>
    </w:p>
    <w:p>
      <w:pPr>
        <w:pStyle w:val="BodyText"/>
      </w:pPr>
    </w:p>
    <w:p>
      <w:pPr>
        <w:pStyle w:val="BodyText"/>
      </w:pPr>
      <w:r>
        <w:t xml:space="preserve">Businesses have employed clever modifications to shift their products into alternate HTS categories with lower tariffs. Some notable U.S. examples include :</w:t>
      </w:r>
    </w:p>
    <w:p>
      <w:pPr>
        <w:pStyle w:val="BodyText"/>
      </w:pPr>
    </w:p>
    <w:p>
      <w:pPr>
        <w:numPr>
          <w:ilvl w:val="0"/>
          <w:numId w:val="1001"/>
        </w:numPr>
      </w:pPr>
      <w:r>
        <w:rPr>
          <w:b/>
          <w:bCs/>
        </w:rPr>
        <w:t xml:space="preserve">Converse Sneakers:</w:t>
      </w:r>
      <w:r>
        <w:t xml:space="preserve"> </w:t>
      </w:r>
      <w:r>
        <w:t xml:space="preserve">By adding a thin layer of felt to the soles of their sneakers, Converse reclassified them as “slippers” rather than regular shoes, dramatically lowering the import duty . (Slippers carry a lower tariff rate than athletic footwear.)</w:t>
      </w:r>
    </w:p>
    <w:p>
      <w:pPr>
        <w:numPr>
          <w:ilvl w:val="0"/>
          <w:numId w:val="1001"/>
        </w:numPr>
      </w:pPr>
      <w:r>
        <w:rPr>
          <w:b/>
          <w:bCs/>
        </w:rPr>
        <w:t xml:space="preserve">Columbia Sportswear Blouses:</w:t>
      </w:r>
      <w:r>
        <w:t xml:space="preserve"> </w:t>
      </w:r>
      <w:r>
        <w:t xml:space="preserve">Columbia designed a women’s blouse with a small ChapStick-sized</w:t>
      </w:r>
      <w:r>
        <w:t xml:space="preserve"> </w:t>
      </w:r>
      <w:r>
        <w:rPr>
          <w:b/>
          <w:bCs/>
        </w:rPr>
        <w:t xml:space="preserve">pocket</w:t>
      </w:r>
      <w:r>
        <w:t xml:space="preserve"> </w:t>
      </w:r>
      <w:r>
        <w:t xml:space="preserve">below the waist, which moved the garment into a different HTS subheading with a reduced duty rate . In practice, blouses</w:t>
      </w:r>
      <w:r>
        <w:t xml:space="preserve"> </w:t>
      </w:r>
      <w:r>
        <w:rPr>
          <w:i/>
          <w:iCs/>
        </w:rPr>
        <w:t xml:space="preserve">with</w:t>
      </w:r>
      <w:r>
        <w:t xml:space="preserve"> </w:t>
      </w:r>
      <w:r>
        <w:t xml:space="preserve">certain pockets fell under an HTS code at about a</w:t>
      </w:r>
      <w:r>
        <w:t xml:space="preserve"> </w:t>
      </w:r>
      <w:r>
        <w:rPr>
          <w:b/>
          <w:bCs/>
        </w:rPr>
        <w:t xml:space="preserve">16% duty</w:t>
      </w:r>
      <w:r>
        <w:t xml:space="preserve"> </w:t>
      </w:r>
      <w:r>
        <w:t xml:space="preserve">instead of the nearly</w:t>
      </w:r>
      <w:r>
        <w:t xml:space="preserve"> </w:t>
      </w:r>
      <w:r>
        <w:rPr>
          <w:b/>
          <w:bCs/>
        </w:rPr>
        <w:t xml:space="preserve">27% duty</w:t>
      </w:r>
      <w:r>
        <w:t xml:space="preserve"> </w:t>
      </w:r>
      <w:r>
        <w:t xml:space="preserve">for similar blouses without that pocket . This minor design tweak saved the company significantly in tariffs.</w:t>
      </w:r>
    </w:p>
    <w:p>
      <w:pPr>
        <w:numPr>
          <w:ilvl w:val="0"/>
          <w:numId w:val="1001"/>
        </w:numPr>
      </w:pPr>
      <w:r>
        <w:rPr>
          <w:b/>
          <w:bCs/>
        </w:rPr>
        <w:t xml:space="preserve">Marvel Action Figures:</w:t>
      </w:r>
      <w:r>
        <w:t xml:space="preserve"> </w:t>
      </w:r>
      <w:r>
        <w:t xml:space="preserve">Toy manufacturer Marvel successfully argued that its action figures should be classified as</w:t>
      </w:r>
      <w:r>
        <w:t xml:space="preserve"> </w:t>
      </w:r>
      <w:r>
        <w:rPr>
          <w:b/>
          <w:bCs/>
        </w:rPr>
        <w:t xml:space="preserve">“toys” rather than “dolls.”</w:t>
      </w:r>
      <w:r>
        <w:t xml:space="preserve"> </w:t>
      </w:r>
      <w:r>
        <w:t xml:space="preserve">Under U.S. customs definitions, dolls (often human figures) had higher duties, whereas toys (e.g. figures not representing humans) were taxed lower. By marketing characters like Spider-Man as non-human “action figures,” Marvel leveraged a cheaper duty classification . This</w:t>
      </w:r>
      <w:r>
        <w:t xml:space="preserve"> </w:t>
      </w:r>
      <w:r>
        <w:rPr>
          <w:b/>
          <w:bCs/>
        </w:rPr>
        <w:t xml:space="preserve">reclassification from dolls to toys</w:t>
      </w:r>
      <w:r>
        <w:t xml:space="preserve"> </w:t>
      </w:r>
      <w:r>
        <w:t xml:space="preserve">translated into a lower tariff rate for their products.</w:t>
      </w:r>
    </w:p>
    <w:p>
      <w:pPr>
        <w:pStyle w:val="FirstParagraph"/>
      </w:pPr>
    </w:p>
    <w:p>
      <w:pPr>
        <w:pStyle w:val="BodyText"/>
      </w:pPr>
    </w:p>
    <w:p>
      <w:pPr>
        <w:pStyle w:val="BodyText"/>
      </w:pPr>
      <w:r>
        <w:t xml:space="preserve">Another illustrative case is in electronics: generic</w:t>
      </w:r>
      <w:r>
        <w:t xml:space="preserve"> </w:t>
      </w:r>
      <w:r>
        <w:rPr>
          <w:b/>
          <w:bCs/>
        </w:rPr>
        <w:t xml:space="preserve">LED lamps</w:t>
      </w:r>
      <w:r>
        <w:t xml:space="preserve"> </w:t>
      </w:r>
      <w:r>
        <w:t xml:space="preserve">normally fall under HTS 9405.40 (lighting fixtures) at about 3.9% duty, but if a lamp is designed specifically for bicycles, it can qualify under HTS 8512.20 (lighting equipment for vehicles) at a duty rate of 2.5% . By understanding the nuanced definitions in HTS code descriptions, importers can sometimes</w:t>
      </w:r>
      <w:r>
        <w:t xml:space="preserve"> </w:t>
      </w:r>
      <w:r>
        <w:rPr>
          <w:b/>
          <w:bCs/>
        </w:rPr>
        <w:t xml:space="preserve">choose a more specific category</w:t>
      </w:r>
      <w:r>
        <w:t xml:space="preserve"> </w:t>
      </w:r>
      <w:r>
        <w:t xml:space="preserve">that carries a lower tariff. These examples underscore how</w:t>
      </w:r>
      <w:r>
        <w:t xml:space="preserve"> </w:t>
      </w:r>
      <w:r>
        <w:rPr>
          <w:b/>
          <w:bCs/>
        </w:rPr>
        <w:t xml:space="preserve">alternative but plausible classifications</w:t>
      </w:r>
      <w:r>
        <w:t xml:space="preserve"> </w:t>
      </w:r>
      <w:r>
        <w:t xml:space="preserve">can yield duty savings when products are engineered or marketed appropriately.</w:t>
      </w:r>
    </w:p>
    <w:p>
      <w:pPr>
        <w:pStyle w:val="BodyText"/>
      </w:pPr>
    </w:p>
    <w:p>
      <w:pPr>
        <w:pStyle w:val="BodyText"/>
      </w:pPr>
      <w:r>
        <w:rPr>
          <w:i/>
          <w:iCs/>
        </w:rPr>
        <w:t xml:space="preserve">(All the above examples were achieved</w:t>
      </w:r>
      <w:r>
        <w:t xml:space="preserve"> </w:t>
      </w:r>
      <w:r>
        <w:t xml:space="preserve">*</w:t>
      </w:r>
      <w:r>
        <w:rPr>
          <w:b/>
          <w:bCs/>
        </w:rPr>
        <w:t xml:space="preserve">legally*</w:t>
      </w:r>
      <w:r>
        <w:t xml:space="preserve"> </w:t>
      </w:r>
      <w:r>
        <w:rPr>
          <w:i/>
          <w:iCs/>
        </w:rPr>
        <w:t xml:space="preserve">by ensuring the products as imported met the exact description of the lower-duty HTS category. Importers did not mislabel the goods; they modified the goods or their usage so that the chosen classification was truthful.)</w:t>
      </w:r>
    </w:p>
    <w:p>
      <w:pPr>
        <w:pStyle w:val="BodyText"/>
      </w:pPr>
    </w:p>
    <w:p>
      <w:pPr>
        <w:pStyle w:val="BodyText"/>
      </w:pPr>
    </w:p>
    <w:bookmarkEnd w:id="21"/>
    <w:bookmarkStart w:id="22" w:name="X528a2eda99ea7171a63ef1ac546d454358ca094"/>
    <w:p>
      <w:pPr>
        <w:pStyle w:val="Heading2"/>
      </w:pPr>
      <w:r>
        <w:rPr>
          <w:b/>
          <w:bCs/>
        </w:rPr>
        <w:t xml:space="preserve">Using HTS Codes and Descriptions to Find Alternatives</w:t>
      </w:r>
    </w:p>
    <w:p>
      <w:pPr>
        <w:pStyle w:val="FirstParagraph"/>
      </w:pPr>
    </w:p>
    <w:p>
      <w:pPr>
        <w:pStyle w:val="BodyText"/>
      </w:pPr>
    </w:p>
    <w:p>
      <w:pPr>
        <w:pStyle w:val="BodyText"/>
      </w:pPr>
      <w:r>
        <w:t xml:space="preserve">Identifying a favorable alternative HTS code starts with a</w:t>
      </w:r>
      <w:r>
        <w:t xml:space="preserve"> </w:t>
      </w:r>
      <w:r>
        <w:rPr>
          <w:b/>
          <w:bCs/>
        </w:rPr>
        <w:t xml:space="preserve">deep analysis of HTS descriptions and structure</w:t>
      </w:r>
      <w:r>
        <w:t xml:space="preserve">. The Harmonized Tariff Schedule is organized into chapters (two-digit codes), headings (four digits), subheadings (six digits, international), and further U.S.-specific 8–10 digit codes. Each classification level has an official textual description. These descriptions often contain</w:t>
      </w:r>
      <w:r>
        <w:t xml:space="preserve"> </w:t>
      </w:r>
      <w:r>
        <w:rPr>
          <w:b/>
          <w:bCs/>
        </w:rPr>
        <w:t xml:space="preserve">clues about thresholds or criteria</w:t>
      </w:r>
      <w:r>
        <w:t xml:space="preserve"> </w:t>
      </w:r>
      <w:r>
        <w:t xml:space="preserve">that distinguish one code from another. For example, a heading might split into subheadings based on material composition (cotton vs. synthetic), intended use (household vs. commercial), presence of certain features (with or without a pocket, etc.), or other attributes. By comparing the language of adjacent codes, one can spot opportunities: if one sub-category carries a high duty and a neighboring sub-category has lower duty due to a specific feature, an importer might alter the product to fit that feature.</w:t>
      </w:r>
    </w:p>
    <w:p>
      <w:pPr>
        <w:pStyle w:val="BodyText"/>
      </w:pPr>
    </w:p>
    <w:p>
      <w:pPr>
        <w:pStyle w:val="BodyText"/>
      </w:pPr>
      <w:r>
        <w:rPr>
          <w:b/>
          <w:bCs/>
        </w:rPr>
        <w:t xml:space="preserve">Tariff engineers (and customs brokers)</w:t>
      </w:r>
      <w:r>
        <w:t xml:space="preserve"> </w:t>
      </w:r>
      <w:r>
        <w:t xml:space="preserve">traditionally comb through the HTS and related resources to find such classification breaks. They use tools like:</w:t>
      </w:r>
    </w:p>
    <w:p>
      <w:pPr>
        <w:pStyle w:val="BodyText"/>
      </w:pPr>
    </w:p>
    <w:p>
      <w:pPr>
        <w:numPr>
          <w:ilvl w:val="0"/>
          <w:numId w:val="1002"/>
        </w:numPr>
      </w:pPr>
      <w:r>
        <w:rPr>
          <w:b/>
          <w:bCs/>
        </w:rPr>
        <w:t xml:space="preserve">HTS Search Functions:</w:t>
      </w:r>
      <w:r>
        <w:t xml:space="preserve"> </w:t>
      </w:r>
      <w:r>
        <w:t xml:space="preserve">The USITC’s online HTS database allows keyword searches of code descriptions . If a current HTS code description contains certain keywords, searching those terms may reveal other HTS provisions where that product might fit. For instance, searching “lamp” or “lighting” could surface all provisions for lamps, including any niche categories like “for bicycles” that carry different rates.</w:t>
      </w:r>
    </w:p>
    <w:p>
      <w:pPr>
        <w:numPr>
          <w:ilvl w:val="0"/>
          <w:numId w:val="1002"/>
        </w:numPr>
      </w:pPr>
      <w:r>
        <w:rPr>
          <w:b/>
          <w:bCs/>
        </w:rPr>
        <w:t xml:space="preserve">Customs Rulings (CROSS) Database:</w:t>
      </w:r>
      <w:r>
        <w:t xml:space="preserve"> </w:t>
      </w:r>
      <w:r>
        <w:t xml:space="preserve">U.S. Customs and Border Protection maintains the CROSS database of classification rulings. By searching rulings for a product or an HTS number, importers can see if CBP has considered alternative classifications for similar goods . For example, a CROSS ruling might reveal that CBP once debated classifying a widget under two different codes – providing insight into what alternate codes are “plausible.” If a user inputs an HTS code into a tool, the system could fetch any CROSS rulings involving that code or related products as hints for other classifications. (CBP’s own FAQ encourages using CROSS to find common product terms and related classifications .)</w:t>
      </w:r>
    </w:p>
    <w:p>
      <w:pPr>
        <w:numPr>
          <w:ilvl w:val="0"/>
          <w:numId w:val="1002"/>
        </w:numPr>
      </w:pPr>
      <w:r>
        <w:rPr>
          <w:b/>
          <w:bCs/>
        </w:rPr>
        <w:t xml:space="preserve">Explanatory Notes and Legal Notes:</w:t>
      </w:r>
      <w:r>
        <w:t xml:space="preserve"> </w:t>
      </w:r>
      <w:r>
        <w:t xml:space="preserve">The Harmonized System Explanatory Notes (published by the World Customs Organization) and the legal notes in the HTSUS can clarify the scope of each category . They often explicitly state</w:t>
      </w:r>
      <w:r>
        <w:t xml:space="preserve"> </w:t>
      </w:r>
      <w:r>
        <w:rPr>
          <w:i/>
          <w:iCs/>
        </w:rPr>
        <w:t xml:space="preserve">inclusions or exclusions</w:t>
      </w:r>
      <w:r>
        <w:t xml:space="preserve"> </w:t>
      </w:r>
      <w:r>
        <w:t xml:space="preserve">– for example, a note might say “Heading X covers items</w:t>
      </w:r>
      <w:r>
        <w:t xml:space="preserve"> </w:t>
      </w:r>
      <w:r>
        <w:rPr>
          <w:i/>
          <w:iCs/>
        </w:rPr>
        <w:t xml:space="preserve">except</w:t>
      </w:r>
      <w:r>
        <w:t xml:space="preserve"> </w:t>
      </w:r>
      <w:r>
        <w:t xml:space="preserve">those with feature Y (which fall in Heading Z).” These hints directly point to alternative codes for items with feature Y. A data-driven system could be programmed to parse such notes to suggest: “If your product has feature Y, consider heading Z.”</w:t>
      </w:r>
    </w:p>
    <w:p>
      <w:pPr>
        <w:pStyle w:val="FirstParagraph"/>
      </w:pPr>
    </w:p>
    <w:p>
      <w:pPr>
        <w:pStyle w:val="BodyText"/>
      </w:pPr>
    </w:p>
    <w:p>
      <w:pPr>
        <w:pStyle w:val="BodyText"/>
      </w:pPr>
      <w:r>
        <w:t xml:space="preserve">From a</w:t>
      </w:r>
      <w:r>
        <w:t xml:space="preserve"> </w:t>
      </w:r>
      <w:r>
        <w:rPr>
          <w:b/>
          <w:bCs/>
        </w:rPr>
        <w:t xml:space="preserve">data perspective</w:t>
      </w:r>
      <w:r>
        <w:t xml:space="preserve">, each HTS code’s text description can be treated as unstructured data that we can analyze for similarity or semantic relationships to other codes. Modern techniques include:</w:t>
      </w:r>
    </w:p>
    <w:p>
      <w:pPr>
        <w:pStyle w:val="BodyText"/>
      </w:pPr>
    </w:p>
    <w:p>
      <w:pPr>
        <w:numPr>
          <w:ilvl w:val="0"/>
          <w:numId w:val="1003"/>
        </w:numPr>
      </w:pPr>
      <w:r>
        <w:rPr>
          <w:b/>
          <w:bCs/>
        </w:rPr>
        <w:t xml:space="preserve">Semantic Text Similarity:</w:t>
      </w:r>
      <w:r>
        <w:t xml:space="preserve"> </w:t>
      </w:r>
      <w:r>
        <w:t xml:space="preserve">One approach is to compute the similarity between the description of the user’s HTS code and all other HTS descriptions. Researchers have done this by converting code descriptions into vectors (using NLP models like sentence embeddings) and finding the closest matches by cosine similarity . For instance, a description “lamps, electric, other … for general lighting” might be semantically close to “lamps for vehicles or bicycles” because they share the concept of electric lamps. An AI system could</w:t>
      </w:r>
      <w:r>
        <w:t xml:space="preserve"> </w:t>
      </w:r>
      <w:r>
        <w:rPr>
          <w:b/>
          <w:bCs/>
        </w:rPr>
        <w:t xml:space="preserve">suggest codes with top-ranked similar descriptions</w:t>
      </w:r>
      <w:r>
        <w:t xml:space="preserve"> </w:t>
      </w:r>
      <w:r>
        <w:t xml:space="preserve">as potential alternatives. In fact, an unsupervised model using pre-trained language embeddings was able to retrieve the correct HS code within its top suggestions by comparing product description text to official HS code texts . The same method can be applied in reverse – using an HTS code’s own description as the query.</w:t>
      </w:r>
    </w:p>
    <w:p>
      <w:pPr>
        <w:numPr>
          <w:ilvl w:val="0"/>
          <w:numId w:val="1003"/>
        </w:numPr>
      </w:pPr>
      <w:r>
        <w:rPr>
          <w:b/>
          <w:bCs/>
        </w:rPr>
        <w:t xml:space="preserve">Taxonomy-Based Relationship:</w:t>
      </w:r>
      <w:r>
        <w:t xml:space="preserve"> </w:t>
      </w:r>
      <w:r>
        <w:t xml:space="preserve">The HTS (being derived from the international HS) has a tree structure. Codes that share the first 4 or 6 digits are in the same family of products, which is a straightforward “adjacency.” A tool could first show</w:t>
      </w:r>
      <w:r>
        <w:t xml:space="preserve"> </w:t>
      </w:r>
      <w:r>
        <w:rPr>
          <w:b/>
          <w:bCs/>
        </w:rPr>
        <w:t xml:space="preserve">“neighboring codes”</w:t>
      </w:r>
      <w:r>
        <w:t xml:space="preserve"> </w:t>
      </w:r>
      <w:r>
        <w:t xml:space="preserve">– e.g. if the input is a 10-digit code, list its immediate sibling subheadings under the same 4-digit heading, since those represent closely related categories. Additionally, one can calculate</w:t>
      </w:r>
      <w:r>
        <w:t xml:space="preserve"> </w:t>
      </w:r>
      <w:r>
        <w:rPr>
          <w:b/>
          <w:bCs/>
        </w:rPr>
        <w:t xml:space="preserve">semantic distance in the HS hierarchy</w:t>
      </w:r>
      <w:r>
        <w:t xml:space="preserve"> </w:t>
      </w:r>
      <w:r>
        <w:t xml:space="preserve">(treating the classification like an ontology). Some algorithms use measures like the Wu-Palmer similarity (originally for WordNet hierarchies) to quantify how related two HS codes are based on their common chapter/heading ancestry . This means, for example, two subheadings under the same heading score as quite similar by taxonomy. A sophisticated system might combine this with text similarity:</w:t>
      </w:r>
      <w:r>
        <w:t xml:space="preserve"> </w:t>
      </w:r>
      <w:r>
        <w:rPr>
          <w:i/>
          <w:iCs/>
        </w:rPr>
        <w:t xml:space="preserve">“Find me codes that are both textually similar and in nearby chapters/headings.”</w:t>
      </w:r>
    </w:p>
    <w:p>
      <w:pPr>
        <w:numPr>
          <w:ilvl w:val="0"/>
          <w:numId w:val="1003"/>
        </w:numPr>
      </w:pPr>
      <w:r>
        <w:rPr>
          <w:b/>
          <w:bCs/>
        </w:rPr>
        <w:t xml:space="preserve">Knowledge Graphs of HTS Criteria:</w:t>
      </w:r>
      <w:r>
        <w:t xml:space="preserve"> </w:t>
      </w:r>
      <w:r>
        <w:t xml:space="preserve">Another advanced method is to parse HTS descriptions into a structured form (a knowledge graph of features and values). One research initiative suggests extracting the rules and conditions from the WCO’s HS descriptions and building a graph to represent them . In a sense, the HTS is full of IF/THEN logic embedded in prose (e.g., “if containing over 50% by weight of cotton…” or “other than the above”). By visualizing those as machine-readable rules, a system could take the known attributes of a product and traverse the graph to find where else it might fit. While this is complex, it can yield</w:t>
      </w:r>
      <w:r>
        <w:t xml:space="preserve"> </w:t>
      </w:r>
      <w:r>
        <w:rPr>
          <w:b/>
          <w:bCs/>
        </w:rPr>
        <w:t xml:space="preserve">alternate suggestions that a simple keyword search might miss</w:t>
      </w:r>
      <w:r>
        <w:t xml:space="preserve">. For example, if the code in question is a residual “other” category, the graph might highlight a more specific code that wasn’t obvious by text similarity alone – but which would apply if the product had a tweak in content or usage.</w:t>
      </w:r>
    </w:p>
    <w:p>
      <w:pPr>
        <w:pStyle w:val="FirstParagraph"/>
      </w:pPr>
    </w:p>
    <w:p>
      <w:pPr>
        <w:pStyle w:val="BodyText"/>
      </w:pPr>
    </w:p>
    <w:p>
      <w:pPr>
        <w:pStyle w:val="BodyText"/>
      </w:pPr>
    </w:p>
    <w:bookmarkEnd w:id="22"/>
    <w:bookmarkStart w:id="23" w:name="Xf9dec3b16aa861f9e384d7ac5e1fbc7b8862308"/>
    <w:p>
      <w:pPr>
        <w:pStyle w:val="Heading2"/>
      </w:pPr>
      <w:r>
        <w:rPr>
          <w:b/>
          <w:bCs/>
        </w:rPr>
        <w:t xml:space="preserve">Tools and Techniques for Suggesting Alternative HTS Codes</w:t>
      </w:r>
    </w:p>
    <w:p>
      <w:pPr>
        <w:pStyle w:val="FirstParagraph"/>
      </w:pPr>
    </w:p>
    <w:p>
      <w:pPr>
        <w:pStyle w:val="BodyText"/>
      </w:pPr>
    </w:p>
    <w:p>
      <w:pPr>
        <w:pStyle w:val="BodyText"/>
      </w:pPr>
      <w:r>
        <w:t xml:space="preserve">Several tools on the market already hint at how technology can assist in classification decisions:</w:t>
      </w:r>
    </w:p>
    <w:p>
      <w:pPr>
        <w:pStyle w:val="BodyText"/>
      </w:pPr>
    </w:p>
    <w:p>
      <w:pPr>
        <w:numPr>
          <w:ilvl w:val="0"/>
          <w:numId w:val="1004"/>
        </w:numPr>
      </w:pPr>
      <w:r>
        <w:rPr>
          <w:b/>
          <w:bCs/>
        </w:rPr>
        <w:t xml:space="preserve">AI-Based Classification Engines:</w:t>
      </w:r>
      <w:r>
        <w:t xml:space="preserve"> </w:t>
      </w:r>
      <w:r>
        <w:t xml:space="preserve">Solutions like Avalara’s tariff classification AI, or Zonos’ “Classify” tool, use machine learning to predict the correct HTS code from a product description . They ingest large datasets of product data and learned mappings to HS codes. While these primarily help find the</w:t>
      </w:r>
      <w:r>
        <w:t xml:space="preserve"> </w:t>
      </w:r>
      <w:r>
        <w:rPr>
          <w:i/>
          <w:iCs/>
        </w:rPr>
        <w:t xml:space="preserve">right</w:t>
      </w:r>
      <w:r>
        <w:t xml:space="preserve"> </w:t>
      </w:r>
      <w:r>
        <w:t xml:space="preserve">code for a description, the underlying technology (natural language processing and model-trained semantic understanding) can be repurposed to find</w:t>
      </w:r>
      <w:r>
        <w:t xml:space="preserve"> </w:t>
      </w:r>
      <w:r>
        <w:rPr>
          <w:i/>
          <w:iCs/>
        </w:rPr>
        <w:t xml:space="preserve">related</w:t>
      </w:r>
      <w:r>
        <w:t xml:space="preserve"> </w:t>
      </w:r>
      <w:r>
        <w:t xml:space="preserve">codes. For example, an AI that knows a “sweater” might also consider “cardigan” or “vest” codes could suggest those as alternates if appropriate. In essence, these systems encode a form of similarity knowledge. A custom tool could query such an AI model with the prompt “What other HTS classifications are similar to [input code]’s description?” to get ideas.</w:t>
      </w:r>
    </w:p>
    <w:p>
      <w:pPr>
        <w:numPr>
          <w:ilvl w:val="0"/>
          <w:numId w:val="1004"/>
        </w:numPr>
      </w:pPr>
      <w:r>
        <w:rPr>
          <w:b/>
          <w:bCs/>
        </w:rPr>
        <w:t xml:space="preserve">Thematic or Fuzzy Search Engines:</w:t>
      </w:r>
      <w:r>
        <w:t xml:space="preserve"> </w:t>
      </w:r>
      <w:r>
        <w:t xml:space="preserve">Platforms like FindHS.codes allow users to input a keyword or even an image to get candidate codes . They also allow searching by entering an HS code to “analyze” it . While the exact features vary, this often brings up the code’s description, duty rate, and any related categories. Some systems might list</w:t>
      </w:r>
      <w:r>
        <w:t xml:space="preserve"> </w:t>
      </w:r>
      <w:r>
        <w:rPr>
          <w:b/>
          <w:bCs/>
        </w:rPr>
        <w:t xml:space="preserve">adjacent codes</w:t>
      </w:r>
      <w:r>
        <w:t xml:space="preserve"> </w:t>
      </w:r>
      <w:r>
        <w:t xml:space="preserve">or</w:t>
      </w:r>
      <w:r>
        <w:t xml:space="preserve"> </w:t>
      </w:r>
      <w:r>
        <w:rPr>
          <w:b/>
          <w:bCs/>
        </w:rPr>
        <w:t xml:space="preserve">common misclassifications</w:t>
      </w:r>
      <w:r>
        <w:t xml:space="preserve">. For instance, a lookup on an apparel code might prompt “Did you mean the version with different material composition (adjacent code)?” These tools essentially perform a broad search in the HTS database and sometimes include curated links between codes.</w:t>
      </w:r>
    </w:p>
    <w:p>
      <w:pPr>
        <w:numPr>
          <w:ilvl w:val="0"/>
          <w:numId w:val="1004"/>
        </w:numPr>
      </w:pPr>
      <w:r>
        <w:rPr>
          <w:b/>
          <w:bCs/>
        </w:rPr>
        <w:t xml:space="preserve">Custom Data Frameworks:</w:t>
      </w:r>
      <w:r>
        <w:t xml:space="preserve"> </w:t>
      </w:r>
      <w:r>
        <w:t xml:space="preserve">For a tailored solution (like extending a</w:t>
      </w:r>
      <w:r>
        <w:t xml:space="preserve"> </w:t>
      </w:r>
      <w:r>
        <w:rPr>
          <w:i/>
          <w:iCs/>
        </w:rPr>
        <w:t xml:space="preserve">RateCast</w:t>
      </w:r>
      <w:r>
        <w:t xml:space="preserve"> </w:t>
      </w:r>
      <w:r>
        <w:t xml:space="preserve">duty lookup tool), one can build a dedicated data pipeline:</w:t>
      </w:r>
    </w:p>
    <w:p>
      <w:pPr>
        <w:numPr>
          <w:ilvl w:val="0"/>
          <w:numId w:val="1000"/>
        </w:numPr>
      </w:pPr>
    </w:p>
    <w:p>
      <w:pPr>
        <w:numPr>
          <w:ilvl w:val="1"/>
          <w:numId w:val="1005"/>
        </w:numPr>
      </w:pPr>
      <w:r>
        <w:rPr>
          <w:b/>
          <w:bCs/>
        </w:rPr>
        <w:t xml:space="preserve">HTS Database:</w:t>
      </w:r>
      <w:r>
        <w:t xml:space="preserve"> </w:t>
      </w:r>
      <w:r>
        <w:t xml:space="preserve">First, obtain a structured database of HTS codes, their descriptions, and duty rates (e.g., from the USITC’s published HTS data). This will be the reference universe for suggestions.</w:t>
      </w:r>
    </w:p>
    <w:p>
      <w:pPr>
        <w:numPr>
          <w:ilvl w:val="1"/>
          <w:numId w:val="1005"/>
        </w:numPr>
      </w:pPr>
      <w:r>
        <w:rPr>
          <w:b/>
          <w:bCs/>
        </w:rPr>
        <w:t xml:space="preserve">Text Processing:</w:t>
      </w:r>
      <w:r>
        <w:t xml:space="preserve"> </w:t>
      </w:r>
      <w:r>
        <w:t xml:space="preserve">Pre-process these descriptions by removing punctuation, normalizing terms (e.g., singular/plural, British vs. American spelling differences in some terms), and possibly expanding abbreviations. This prepares the data for comparison.</w:t>
      </w:r>
    </w:p>
    <w:p>
      <w:pPr>
        <w:numPr>
          <w:ilvl w:val="1"/>
          <w:numId w:val="1005"/>
        </w:numPr>
      </w:pPr>
      <w:r>
        <w:rPr>
          <w:b/>
          <w:bCs/>
        </w:rPr>
        <w:t xml:space="preserve">Indexing for Similarity:</w:t>
      </w:r>
      <w:r>
        <w:t xml:space="preserve"> </w:t>
      </w:r>
      <w:r>
        <w:t xml:space="preserve">Implement a search index that can retrieve codes by text similarity. This could be as simple as an ElasticSearch index on the descriptions with synonym matching, or as advanced as a vector database of description embeddings (using a model like Universal Sentence Encoder or SBERT to embed each description). The goal is that when the user enters a code, the system takes that code’s description as a query and finds other descriptions that</w:t>
      </w:r>
      <w:r>
        <w:t xml:space="preserve"> </w:t>
      </w:r>
      <w:r>
        <w:rPr>
          <w:b/>
          <w:bCs/>
        </w:rPr>
        <w:t xml:space="preserve">score highly for similarity</w:t>
      </w:r>
      <w:r>
        <w:t xml:space="preserve">. For example, if the code’s text mentions “furniture, wooden, other –,” the system might surface other codes mentioning “wooden furniture” in different chapters (maybe a specific exemption for a type of wooden article in another chapter) that a human might not have noticed.</w:t>
      </w:r>
    </w:p>
    <w:p>
      <w:pPr>
        <w:numPr>
          <w:ilvl w:val="1"/>
          <w:numId w:val="1005"/>
        </w:numPr>
      </w:pPr>
      <w:r>
        <w:rPr>
          <w:b/>
          <w:bCs/>
        </w:rPr>
        <w:t xml:space="preserve">Filtering &amp; Ranking:</w:t>
      </w:r>
      <w:r>
        <w:t xml:space="preserve"> </w:t>
      </w:r>
      <w:r>
        <w:t xml:space="preserve">Not all “similar” codes are viable alternatives, so apply business rules. Filter out obviously irrelevant hits (e.g., the same description appearing under a different statistical suffix, which doesn’t change duty). Emphasize suggestions that either</w:t>
      </w:r>
      <w:r>
        <w:t xml:space="preserve"> </w:t>
      </w:r>
      <w:r>
        <w:rPr>
          <w:b/>
          <w:bCs/>
        </w:rPr>
        <w:t xml:space="preserve">reduce duty</w:t>
      </w:r>
      <w:r>
        <w:t xml:space="preserve"> </w:t>
      </w:r>
      <w:r>
        <w:t xml:space="preserve">or circumvent a known extra tariff. For instance, if the input code has an additional 25% China tariff and a similar code does not, that similar code is worth flagging (with a note like “no Section 301 tariff applies to this code”). A data-driven system can cross-reference a tariff measures database to identify such differences.</w:t>
      </w:r>
    </w:p>
    <w:p>
      <w:pPr>
        <w:numPr>
          <w:ilvl w:val="1"/>
          <w:numId w:val="1005"/>
        </w:numPr>
      </w:pPr>
      <w:r>
        <w:rPr>
          <w:b/>
          <w:bCs/>
        </w:rPr>
        <w:t xml:space="preserve">Output Explanations:</w:t>
      </w:r>
      <w:r>
        <w:t xml:space="preserve"> </w:t>
      </w:r>
      <w:r>
        <w:t xml:space="preserve">For each suggested code, present the</w:t>
      </w:r>
      <w:r>
        <w:t xml:space="preserve"> </w:t>
      </w:r>
      <w:r>
        <w:rPr>
          <w:b/>
          <w:bCs/>
        </w:rPr>
        <w:t xml:space="preserve">description and duty rate</w:t>
      </w:r>
      <w:r>
        <w:t xml:space="preserve">, and highlight the key differences in its wording. If possible, show</w:t>
      </w:r>
      <w:r>
        <w:t xml:space="preserve"> </w:t>
      </w:r>
      <w:r>
        <w:rPr>
          <w:i/>
          <w:iCs/>
        </w:rPr>
        <w:t xml:space="preserve">why</w:t>
      </w:r>
      <w:r>
        <w:t xml:space="preserve"> </w:t>
      </w:r>
      <w:r>
        <w:t xml:space="preserve">it might be lower duty (e.g., “classified as X because it has Y feature, duty = X%”). This helps the user quickly grasp what product change would be needed. For example:</w:t>
      </w:r>
      <w:r>
        <w:t xml:space="preserve"> </w:t>
      </w:r>
      <w:r>
        <w:rPr>
          <w:i/>
          <w:iCs/>
        </w:rPr>
        <w:t xml:space="preserve">“HTS 8512.20.00 – Electric lighting equipment for bicycles (duty 2.5%). Consider if your product can be imported as bicycle equipment</w:t>
      </w:r>
      <w:r>
        <w:t xml:space="preserve"> </w:t>
      </w:r>
      <w:r>
        <w:rPr>
          <w:i/>
          <w:iCs/>
        </w:rPr>
        <w:t xml:space="preserve">.”</w:t>
      </w:r>
      <w:r>
        <w:t xml:space="preserve"> </w:t>
      </w:r>
      <w:r>
        <w:t xml:space="preserve">Such a suggestion explicitly ties back to the product context.</w:t>
      </w:r>
    </w:p>
    <w:p>
      <w:pPr>
        <w:numPr>
          <w:ilvl w:val="1"/>
          <w:numId w:val="1005"/>
        </w:numPr>
      </w:pPr>
      <w:r>
        <w:rPr>
          <w:b/>
          <w:bCs/>
        </w:rPr>
        <w:t xml:space="preserve">Iterate with User Feedback:</w:t>
      </w:r>
      <w:r>
        <w:t xml:space="preserve"> </w:t>
      </w:r>
      <w:r>
        <w:t xml:space="preserve">Allow the user to refine suggestions. Perhaps the user can input additional clues (“my item is made of plastic” or “it’s part of a set”) and the tool can then narrow suggestions to those codes whose descriptions include those attributes. Over time, capturing which suggestions were useful or chosen could further train a machine learning model to improve the relevance of suggestions.</w:t>
      </w:r>
    </w:p>
    <w:p>
      <w:pPr>
        <w:numPr>
          <w:ilvl w:val="0"/>
          <w:numId w:val="1000"/>
        </w:numPr>
      </w:pPr>
    </w:p>
    <w:p>
      <w:pPr>
        <w:pStyle w:val="FirstParagraph"/>
      </w:pPr>
    </w:p>
    <w:p>
      <w:pPr>
        <w:pStyle w:val="BodyText"/>
      </w:pPr>
    </w:p>
    <w:p>
      <w:pPr>
        <w:pStyle w:val="BodyText"/>
      </w:pPr>
      <w:r>
        <w:t xml:space="preserve">By combining these techniques, a tool can go beyond a basic duty lookup and act as a</w:t>
      </w:r>
      <w:r>
        <w:t xml:space="preserve"> </w:t>
      </w:r>
      <w:r>
        <w:rPr>
          <w:b/>
          <w:bCs/>
        </w:rPr>
        <w:t xml:space="preserve">recommendation engine for HTS codes</w:t>
      </w:r>
      <w:r>
        <w:t xml:space="preserve"> </w:t>
      </w:r>
      <w:r>
        <w:t xml:space="preserve">– almost like a “customers who viewed this item also viewed…” but for tariff classifications. For example, if many importers who initially look at code A ultimately switch to code B for duty savings (and it’s legally valid), the system could learn to recommend code B when A is queried.</w:t>
      </w:r>
    </w:p>
    <w:p>
      <w:pPr>
        <w:pStyle w:val="BodyText"/>
      </w:pPr>
    </w:p>
    <w:p>
      <w:pPr>
        <w:pStyle w:val="BodyText"/>
      </w:pPr>
    </w:p>
    <w:bookmarkEnd w:id="23"/>
    <w:bookmarkStart w:id="24" w:name="compliance-considerations-and-caveats"/>
    <w:p>
      <w:pPr>
        <w:pStyle w:val="Heading2"/>
      </w:pPr>
      <w:r>
        <w:rPr>
          <w:b/>
          <w:bCs/>
        </w:rPr>
        <w:t xml:space="preserve">Compliance Considerations and Caveats</w:t>
      </w:r>
    </w:p>
    <w:p>
      <w:pPr>
        <w:pStyle w:val="FirstParagraph"/>
      </w:pPr>
    </w:p>
    <w:p>
      <w:pPr>
        <w:pStyle w:val="BodyText"/>
      </w:pPr>
    </w:p>
    <w:p>
      <w:pPr>
        <w:pStyle w:val="BodyText"/>
      </w:pPr>
      <w:r>
        <w:t xml:space="preserve">While suggesting alternative HTS codes can add value, it must be done with great care for compliance. Any feature that proposes a different classification should include</w:t>
      </w:r>
      <w:r>
        <w:t xml:space="preserve"> </w:t>
      </w:r>
      <w:r>
        <w:rPr>
          <w:b/>
          <w:bCs/>
        </w:rPr>
        <w:t xml:space="preserve">prominent disclaimers</w:t>
      </w:r>
      <w:r>
        <w:t xml:space="preserve"> </w:t>
      </w:r>
      <w:r>
        <w:t xml:space="preserve">that these are only hypotheses for further research,</w:t>
      </w:r>
      <w:r>
        <w:t xml:space="preserve"> </w:t>
      </w:r>
      <w:r>
        <w:rPr>
          <w:b/>
          <w:bCs/>
        </w:rPr>
        <w:t xml:space="preserve">not automatic approvals to use those codes</w:t>
      </w:r>
      <w:r>
        <w:t xml:space="preserve">. In the U.S., the importer of record is legally responsible for proper classification under the principle of “reasonable care,” and mistakes (even well-intentioned) can result in penalties .</w:t>
      </w:r>
    </w:p>
    <w:p>
      <w:pPr>
        <w:pStyle w:val="BodyText"/>
      </w:pPr>
    </w:p>
    <w:p>
      <w:pPr>
        <w:pStyle w:val="BodyText"/>
      </w:pPr>
      <w:r>
        <w:t xml:space="preserve">Key caveats and guidance include:</w:t>
      </w:r>
    </w:p>
    <w:p>
      <w:pPr>
        <w:pStyle w:val="BodyText"/>
      </w:pPr>
    </w:p>
    <w:p>
      <w:pPr>
        <w:numPr>
          <w:ilvl w:val="0"/>
          <w:numId w:val="1006"/>
        </w:numPr>
      </w:pPr>
      <w:r>
        <w:rPr>
          <w:b/>
          <w:bCs/>
        </w:rPr>
        <w:t xml:space="preserve">Product Must Fit the Code:</w:t>
      </w:r>
      <w:r>
        <w:t xml:space="preserve"> </w:t>
      </w:r>
      <w:r>
        <w:t xml:space="preserve">It sounds obvious, but it must be stressed: an importer can only use an HTS code if the product</w:t>
      </w:r>
      <w:r>
        <w:t xml:space="preserve"> </w:t>
      </w:r>
      <w:r>
        <w:rPr>
          <w:i/>
          <w:iCs/>
        </w:rPr>
        <w:t xml:space="preserve">as imported</w:t>
      </w:r>
      <w:r>
        <w:t xml:space="preserve"> </w:t>
      </w:r>
      <w:r>
        <w:t xml:space="preserve">genuinely meets that code’s definition. Tariff engineering is about altering the product or how it’s imported</w:t>
      </w:r>
      <w:r>
        <w:t xml:space="preserve"> </w:t>
      </w:r>
      <w:r>
        <w:rPr>
          <w:i/>
          <w:iCs/>
        </w:rPr>
        <w:t xml:space="preserve">beforehand</w:t>
      </w:r>
      <w:r>
        <w:t xml:space="preserve"> </w:t>
      </w:r>
      <w:r>
        <w:t xml:space="preserve">to legally fit a classification – not about creative re-labeling after the fact. U.S. Customs (CBP) has a skeptical eye and</w:t>
      </w:r>
      <w:r>
        <w:t xml:space="preserve"> </w:t>
      </w:r>
      <w:r>
        <w:rPr>
          <w:i/>
          <w:iCs/>
        </w:rPr>
        <w:t xml:space="preserve">“closely monitors classification shifts”</w:t>
      </w:r>
      <w:r>
        <w:t xml:space="preserve">, ready to challenge any that appear questionable . A tool might remind users that “Switching to this code requires your product to have XYZ characteristics; confirm with your compliance team.”</w:t>
      </w:r>
    </w:p>
    <w:p>
      <w:pPr>
        <w:numPr>
          <w:ilvl w:val="0"/>
          <w:numId w:val="1006"/>
        </w:numPr>
      </w:pPr>
      <w:r>
        <w:rPr>
          <w:b/>
          <w:bCs/>
        </w:rPr>
        <w:t xml:space="preserve">Binding Rulings for Certainty:</w:t>
      </w:r>
      <w:r>
        <w:t xml:space="preserve"> </w:t>
      </w:r>
      <w:r>
        <w:t xml:space="preserve">If a suggested code looks promising (especially one that would significantly cut duties), the safest course is to seek an official</w:t>
      </w:r>
      <w:r>
        <w:t xml:space="preserve"> </w:t>
      </w:r>
      <w:r>
        <w:rPr>
          <w:b/>
          <w:bCs/>
        </w:rPr>
        <w:t xml:space="preserve">binding ruling</w:t>
      </w:r>
      <w:r>
        <w:t xml:space="preserve"> </w:t>
      </w:r>
      <w:r>
        <w:t xml:space="preserve">from CBP for the product in that classification. The system can encourage this by providing a link or information on how to request a ruling . Obtaining a ruling in advance will protect the importer from penalties if CBP agrees the classification is correct, and it provides peace of mind that the alternate code is sanctioned.</w:t>
      </w:r>
    </w:p>
    <w:p>
      <w:pPr>
        <w:numPr>
          <w:ilvl w:val="0"/>
          <w:numId w:val="1006"/>
        </w:numPr>
      </w:pPr>
      <w:r>
        <w:rPr>
          <w:b/>
          <w:bCs/>
        </w:rPr>
        <w:t xml:space="preserve">Retrospective Reclassification Risks:</w:t>
      </w:r>
      <w:r>
        <w:t xml:space="preserve"> </w:t>
      </w:r>
      <w:r>
        <w:t xml:space="preserve">Importers should be wary of suddenly changing a long-used HTS code to a lower-duty code without a solid basis. CBP might treat this as a red flag. In fact, CBP regulations require importers to correct</w:t>
      </w:r>
      <w:r>
        <w:t xml:space="preserve"> </w:t>
      </w:r>
      <w:r>
        <w:rPr>
          <w:b/>
          <w:bCs/>
        </w:rPr>
        <w:t xml:space="preserve">past entries</w:t>
      </w:r>
      <w:r>
        <w:t xml:space="preserve"> </w:t>
      </w:r>
      <w:r>
        <w:t xml:space="preserve">if they discover a classification error. One customs broker noted that if an importer concludes their previous HTS was “wrong” (perhaps due to discovering a new alternate code), they are obligated to</w:t>
      </w:r>
      <w:r>
        <w:t xml:space="preserve"> </w:t>
      </w:r>
      <w:r>
        <w:rPr>
          <w:b/>
          <w:bCs/>
        </w:rPr>
        <w:t xml:space="preserve">re-file entries up to 5 years back with the correct code and pay any owed duties</w:t>
      </w:r>
      <w:r>
        <w:t xml:space="preserve"> </w:t>
      </w:r>
      <w:r>
        <w:t xml:space="preserve">. Simply switching going forward, especially amid a tariff hike, can invite an audit (CF28/29 forms requesting information on prior imports) . For example, some importers during the China tariffs sought to reclassify a product from a 3% duty code that had an extra 10% tariff, into another code at 5% with no extra tariff. While the new imports would avoid the 10% add-on, CBP warned that the 2% higher base rate in the new classification would then be owed retroactively on past imports if the original classification had indeed been wrong . In short,</w:t>
      </w:r>
      <w:r>
        <w:t xml:space="preserve"> </w:t>
      </w:r>
      <w:r>
        <w:rPr>
          <w:b/>
          <w:bCs/>
        </w:rPr>
        <w:t xml:space="preserve">duty savings can evaporate if reclassification isn’t handled properly</w:t>
      </w:r>
      <w:r>
        <w:t xml:space="preserve">. Our tool’s messaging should highlight: “If you change classification, consult your broker and consider obligations for past imports.”</w:t>
      </w:r>
    </w:p>
    <w:p>
      <w:pPr>
        <w:numPr>
          <w:ilvl w:val="0"/>
          <w:numId w:val="1006"/>
        </w:numPr>
      </w:pPr>
      <w:r>
        <w:rPr>
          <w:b/>
          <w:bCs/>
        </w:rPr>
        <w:t xml:space="preserve">Legal Precedents and Interpretations:</w:t>
      </w:r>
      <w:r>
        <w:t xml:space="preserve"> </w:t>
      </w:r>
      <w:r>
        <w:t xml:space="preserve">The difference between “aggressive” and “compliant” tariff engineering often comes down to fine details and prior rulings. For instance, the line between a “doll” and a “toy” or a “slipper” and a “shoe” was drawn through litigation and rulings. A suggestion engine might flag known precedent: e.g., “CBP has ruled on similar cases – see ruling XYZ where a pocket added to a garment changed its classification.” Though our tool can’t give legal advice, referencing such precedent (or at least pointing to the existence of CROSS rulings) can prompt users to do further homework. It also serves as a reminder that</w:t>
      </w:r>
      <w:r>
        <w:t xml:space="preserve"> </w:t>
      </w:r>
      <w:r>
        <w:rPr>
          <w:b/>
          <w:bCs/>
        </w:rPr>
        <w:t xml:space="preserve">classification is ultimately an interpretive exercise grounded in law</w:t>
      </w:r>
      <w:r>
        <w:t xml:space="preserve">. No automated system can account for all factors (materials, use, marketing, etc.) that determine the correct code –</w:t>
      </w:r>
      <w:r>
        <w:t xml:space="preserve"> </w:t>
      </w:r>
      <w:r>
        <w:rPr>
          <w:b/>
          <w:bCs/>
        </w:rPr>
        <w:t xml:space="preserve">human verification is essential</w:t>
      </w:r>
      <w:r>
        <w:t xml:space="preserve">.</w:t>
      </w:r>
    </w:p>
    <w:p>
      <w:pPr>
        <w:numPr>
          <w:ilvl w:val="0"/>
          <w:numId w:val="1006"/>
        </w:numPr>
      </w:pPr>
      <w:r>
        <w:rPr>
          <w:b/>
          <w:bCs/>
        </w:rPr>
        <w:t xml:space="preserve">Informed Compliance Publications:</w:t>
      </w:r>
      <w:r>
        <w:t xml:space="preserve"> </w:t>
      </w:r>
      <w:r>
        <w:t xml:space="preserve">U.S. Customs publishes Informed Compliance Publications (ICPs) on tricky classification areas. These often enumerate how to distinguish similar categories. For example, an ICP on apparel might explain what makes a blouse vs. a jacket, or which features push an item into a different HTS heading . Our tool could link to relevant ICPs if a suggestion falls into one of those nuanced areas. This educates the user on the compliance nuances and underscores that they must adhere to the established criteria, not just the duty rate.</w:t>
      </w:r>
    </w:p>
    <w:p>
      <w:pPr>
        <w:pStyle w:val="FirstParagraph"/>
      </w:pPr>
    </w:p>
    <w:p>
      <w:pPr>
        <w:pStyle w:val="BodyText"/>
      </w:pPr>
    </w:p>
    <w:p>
      <w:pPr>
        <w:pStyle w:val="BodyText"/>
      </w:pPr>
    </w:p>
    <w:bookmarkEnd w:id="24"/>
    <w:bookmarkStart w:id="25" w:name="X749838a3008d785df9bb976010cd167569cefea"/>
    <w:p>
      <w:pPr>
        <w:pStyle w:val="Heading2"/>
      </w:pPr>
      <w:r>
        <w:rPr>
          <w:b/>
          <w:bCs/>
        </w:rPr>
        <w:t xml:space="preserve">Adding Value with Adjacent Code Suggestions</w:t>
      </w:r>
    </w:p>
    <w:p>
      <w:pPr>
        <w:pStyle w:val="FirstParagraph"/>
      </w:pPr>
    </w:p>
    <w:p>
      <w:pPr>
        <w:pStyle w:val="BodyText"/>
      </w:pPr>
    </w:p>
    <w:p>
      <w:pPr>
        <w:pStyle w:val="BodyText"/>
      </w:pPr>
      <w:r>
        <w:t xml:space="preserve">Despite the cautions, implementing an “adjacent HTS code suggestion” feature can greatly enhance a customs duty lookup tool. It transforms the tool from a static lookup into a smarter advisor that helps importers</w:t>
      </w:r>
      <w:r>
        <w:t xml:space="preserve"> </w:t>
      </w:r>
      <w:r>
        <w:rPr>
          <w:b/>
          <w:bCs/>
        </w:rPr>
        <w:t xml:space="preserve">brainstorm cost-saving options</w:t>
      </w:r>
      <w:r>
        <w:t xml:space="preserve">. By surfacing legally-plausible alternatives, the feature can spark ideas that the user may not have considered – potentially replicating the insights of a seasoned customs consultant in an automated way.</w:t>
      </w:r>
    </w:p>
    <w:p>
      <w:pPr>
        <w:pStyle w:val="BodyText"/>
      </w:pPr>
    </w:p>
    <w:p>
      <w:pPr>
        <w:pStyle w:val="BodyText"/>
      </w:pPr>
      <w:r>
        <w:t xml:space="preserve">To accelerate development, focus on</w:t>
      </w:r>
      <w:r>
        <w:t xml:space="preserve"> </w:t>
      </w:r>
      <w:r>
        <w:rPr>
          <w:b/>
          <w:bCs/>
        </w:rPr>
        <w:t xml:space="preserve">leveraging existing data</w:t>
      </w:r>
      <w:r>
        <w:t xml:space="preserve"> </w:t>
      </w:r>
      <w:r>
        <w:t xml:space="preserve">and incremental improvements:</w:t>
      </w:r>
    </w:p>
    <w:p>
      <w:pPr>
        <w:pStyle w:val="BodyText"/>
      </w:pPr>
    </w:p>
    <w:p>
      <w:pPr>
        <w:numPr>
          <w:ilvl w:val="0"/>
          <w:numId w:val="1007"/>
        </w:numPr>
      </w:pPr>
      <w:r>
        <w:rPr>
          <w:b/>
          <w:bCs/>
        </w:rPr>
        <w:t xml:space="preserve">Start with Low-Hanging Fruit:</w:t>
      </w:r>
      <w:r>
        <w:t xml:space="preserve"> </w:t>
      </w:r>
      <w:r>
        <w:t xml:space="preserve">A simple but useful beginning is to show the</w:t>
      </w:r>
      <w:r>
        <w:t xml:space="preserve"> </w:t>
      </w:r>
      <w:r>
        <w:rPr>
          <w:b/>
          <w:bCs/>
        </w:rPr>
        <w:t xml:space="preserve">immediate hierarchy</w:t>
      </w:r>
      <w:r>
        <w:t xml:space="preserve"> </w:t>
      </w:r>
      <w:r>
        <w:t xml:space="preserve">around the entered code. If a user inputs a 10-digit code, list the other 10-digit codes under the same 8-digit heading, and maybe the parallel 8-digit subheadings under the same 6-digit level. This requires no AI – just data lookup – and can reveal alternatives. For example, a user’s product might be classified under an “other” subheading with a high duty, right next to a more specific subheading with lower duty. Seeing them side by side (with descriptions) could hint, “perhaps my product could qualify under that specific subheading if modified.” Many classification opportunities are found exactly this way by compliance experts.</w:t>
      </w:r>
    </w:p>
    <w:p>
      <w:pPr>
        <w:numPr>
          <w:ilvl w:val="0"/>
          <w:numId w:val="1007"/>
        </w:numPr>
      </w:pPr>
      <w:r>
        <w:rPr>
          <w:b/>
          <w:bCs/>
        </w:rPr>
        <w:t xml:space="preserve">Layer on Keyword Matching:</w:t>
      </w:r>
      <w:r>
        <w:t xml:space="preserve"> </w:t>
      </w:r>
      <w:r>
        <w:t xml:space="preserve">Next, implement a keyword similarity suggestion: take significant nouns/adjectives from the input code’s description and find other HTS entries containing those terms. This might show cross-chapter possibilities (like the</w:t>
      </w:r>
      <w:r>
        <w:t xml:space="preserve"> </w:t>
      </w:r>
      <w:r>
        <w:rPr>
          <w:b/>
          <w:bCs/>
        </w:rPr>
        <w:t xml:space="preserve">LED lamp</w:t>
      </w:r>
      <w:r>
        <w:t xml:space="preserve"> </w:t>
      </w:r>
      <w:r>
        <w:t xml:space="preserve">example spanning Chapter 94 to 85) by virtue of a common keyword (“lamp”) . Scoring or weighting can be added (e.g., prioritize results that also share the same chapter or section for relevance, unless a known exception like “bicycle” appears).</w:t>
      </w:r>
    </w:p>
    <w:p>
      <w:pPr>
        <w:numPr>
          <w:ilvl w:val="0"/>
          <w:numId w:val="1007"/>
        </w:numPr>
      </w:pPr>
      <w:r>
        <w:rPr>
          <w:b/>
          <w:bCs/>
        </w:rPr>
        <w:t xml:space="preserve">Integrate a Pre-trained NLP Model:</w:t>
      </w:r>
      <w:r>
        <w:t xml:space="preserve"> </w:t>
      </w:r>
      <w:r>
        <w:t xml:space="preserve">To capture less-obvious semantic links, use a pre-trained language model as discussed. This could be as straightforward as using an open-source sentence transformer to embed all HTS descriptions. With vector similarity search, the tool can present, say, the top 5 most semantically similar descriptions to the input code’s description. Testing this internally may yield interesting connections. For instance, a code about “machines for X, not elsewhere specified” might surface another chapter’s “machines for Y, not elsewhere specified” which hints at a different classification of a similar machine under a more specific category. Research has shown that combining text similarity with the HS taxonomy can improve the relevance of classification predictions , so an optimal approach may mix both methods.</w:t>
      </w:r>
    </w:p>
    <w:p>
      <w:pPr>
        <w:numPr>
          <w:ilvl w:val="0"/>
          <w:numId w:val="1007"/>
        </w:numPr>
      </w:pPr>
      <w:r>
        <w:rPr>
          <w:b/>
          <w:bCs/>
        </w:rPr>
        <w:t xml:space="preserve">User Interface and Guidance:</w:t>
      </w:r>
      <w:r>
        <w:t xml:space="preserve"> </w:t>
      </w:r>
      <w:r>
        <w:t xml:space="preserve">Present suggestions in a user-friendly way. Perhaps under the rate information, have a section titled “👉</w:t>
      </w:r>
      <w:r>
        <w:t xml:space="preserve"> </w:t>
      </w:r>
      <w:r>
        <w:rPr>
          <w:i/>
          <w:iCs/>
        </w:rPr>
        <w:t xml:space="preserve">Explore Related Classifications</w:t>
      </w:r>
      <w:r>
        <w:t xml:space="preserve">” with a short disclaimer. Each suggestion could be listed as</w:t>
      </w:r>
      <w:r>
        <w:t xml:space="preserve"> </w:t>
      </w:r>
      <w:r>
        <w:rPr>
          <w:i/>
          <w:iCs/>
        </w:rPr>
        <w:t xml:space="preserve">Code – Description – Duty Rate</w:t>
      </w:r>
      <w:r>
        <w:t xml:space="preserve">, and maybe a one-liner note (e.g., “Lower duty if criteria met” or “No additional 301 tariff”). Color-coding could highlight potential savings (e.g., green if lower base duty, or if it avoids a known surcharge). But also consider a symbol or note for “check compliance.” A fine print message could read: “</w:t>
      </w:r>
      <w:r>
        <w:rPr>
          <w:i/>
          <w:iCs/>
        </w:rPr>
        <w:t xml:space="preserve">These suggestions are for research only. Verify eligibility with a customs broker before using an alternate code.</w:t>
      </w:r>
      <w:r>
        <w:t xml:space="preserve">”</w:t>
      </w:r>
    </w:p>
    <w:p>
      <w:pPr>
        <w:numPr>
          <w:ilvl w:val="0"/>
          <w:numId w:val="1007"/>
        </w:numPr>
      </w:pPr>
      <w:r>
        <w:rPr>
          <w:b/>
          <w:bCs/>
        </w:rPr>
        <w:t xml:space="preserve">Continuous Update and Learning:</w:t>
      </w:r>
      <w:r>
        <w:t xml:space="preserve"> </w:t>
      </w:r>
      <w:r>
        <w:t xml:space="preserve">Monitor how users interact. If the tool logs which suggested codes get clicked or researched frequently, that data might reveal common alternate classifications being considered. This could guide further tuning – for example, if many users input a certain code and often look at one particular alternative, maybe that alternative should be raised in prominence or include an explanatory tip. Also, stay updated on changes: HTS codes and duty rates update regularly, so maintain the database and re-run any model indexing when descriptions change to ensure suggestions remain valid. (A suggestion for a code that was deleted or renumbered in the latest HTS would undermine user trust.)</w:t>
      </w:r>
    </w:p>
    <w:p>
      <w:pPr>
        <w:pStyle w:val="FirstParagraph"/>
      </w:pPr>
    </w:p>
    <w:p>
      <w:pPr>
        <w:pStyle w:val="BodyText"/>
      </w:pPr>
    </w:p>
    <w:p>
      <w:pPr>
        <w:pStyle w:val="BodyText"/>
      </w:pPr>
    </w:p>
    <w:bookmarkEnd w:id="25"/>
    <w:bookmarkStart w:id="26" w:name="conclusion"/>
    <w:p>
      <w:pPr>
        <w:pStyle w:val="Heading2"/>
      </w:pPr>
      <w:r>
        <w:rPr>
          <w:b/>
          <w:bCs/>
        </w:rPr>
        <w:t xml:space="preserve">Conclusion</w:t>
      </w:r>
    </w:p>
    <w:p>
      <w:pPr>
        <w:pStyle w:val="FirstParagraph"/>
      </w:pPr>
    </w:p>
    <w:p>
      <w:pPr>
        <w:pStyle w:val="BodyText"/>
      </w:pPr>
    </w:p>
    <w:p>
      <w:pPr>
        <w:pStyle w:val="BodyText"/>
      </w:pPr>
      <w:r>
        <w:rPr>
          <w:b/>
          <w:bCs/>
        </w:rPr>
        <w:t xml:space="preserve">Tariff engineering in the U.S. is a blend of creative product strategy and careful compliance</w:t>
      </w:r>
      <w:r>
        <w:t xml:space="preserve">. By using data-driven methods to analyze HTS codes, we can bring some of that creative strategy directly to users of a duty lookup tool. Offering plausible alternative HTS codes – backed by textual analysis and historical examples – adds significant value for importers looking to reduce costs legally. It empowers them to ask “What if we classified our product differently?” and gives them a starting point to explore answers.</w:t>
      </w:r>
    </w:p>
    <w:p>
      <w:pPr>
        <w:pStyle w:val="BodyText"/>
      </w:pPr>
    </w:p>
    <w:p>
      <w:pPr>
        <w:pStyle w:val="BodyText"/>
      </w:pPr>
      <w:r>
        <w:t xml:space="preserve">However, with this power comes responsibility. Our system must clearly communicate that any reclassification must be vetted for accuracy and legality. The suggestions provided are not a shortcut around the rules, but rather an</w:t>
      </w:r>
      <w:r>
        <w:t xml:space="preserve"> </w:t>
      </w:r>
      <w:r>
        <w:rPr>
          <w:b/>
          <w:bCs/>
        </w:rPr>
        <w:t xml:space="preserve">intelligence aid</w:t>
      </w:r>
      <w:r>
        <w:t xml:space="preserve"> </w:t>
      </w:r>
      <w:r>
        <w:t xml:space="preserve">to help importers and brokers make more informed decisions. When implemented thoughtfully, an adjacent-code suggestion feature could become a standout feature: saving users money through insights, educating them on the intricacies of the HTS, and reinforcing a reputation for a</w:t>
      </w:r>
      <w:r>
        <w:t xml:space="preserve"> </w:t>
      </w:r>
      <w:r>
        <w:rPr>
          <w:b/>
          <w:bCs/>
        </w:rPr>
        <w:t xml:space="preserve">comprehensive, compliance-forward tool</w:t>
      </w:r>
      <w:r>
        <w:t xml:space="preserve">. By combining the</w:t>
      </w:r>
      <w:r>
        <w:t xml:space="preserve"> </w:t>
      </w:r>
      <w:r>
        <w:rPr>
          <w:b/>
          <w:bCs/>
        </w:rPr>
        <w:t xml:space="preserve">hard data</w:t>
      </w:r>
      <w:r>
        <w:t xml:space="preserve"> </w:t>
      </w:r>
      <w:r>
        <w:t xml:space="preserve">(duty rates, HTS texts, AI analytics) with</w:t>
      </w:r>
      <w:r>
        <w:t xml:space="preserve"> </w:t>
      </w:r>
      <w:r>
        <w:rPr>
          <w:b/>
          <w:bCs/>
        </w:rPr>
        <w:t xml:space="preserve">expert knowledge</w:t>
      </w:r>
      <w:r>
        <w:t xml:space="preserve"> </w:t>
      </w:r>
      <w:r>
        <w:t xml:space="preserve">(rulings, notes, legal caveats), we can accelerate the development of a feature that is both innovative and trusted in the landscape of U.S. customs compliance.</w:t>
      </w:r>
    </w:p>
    <w:p>
      <w:pPr>
        <w:pStyle w:val="BodyText"/>
      </w:pPr>
    </w:p>
    <w:p>
      <w:pPr>
        <w:pStyle w:val="BodyText"/>
      </w:pPr>
      <w:r>
        <w:rPr>
          <w:b/>
          <w:bCs/>
        </w:rPr>
        <w:t xml:space="preserve">Next Steps:</w:t>
      </w:r>
      <w:r>
        <w:t xml:space="preserve"> </w:t>
      </w:r>
      <w:r>
        <w:t xml:space="preserve">Focus on building the core suggestion engine using HTS descriptions and similarity measures, then work with compliance experts to review the suggestions and craft the guidance/disclaimer text. This collaboration will ensure the feature not only functions well technically, but also steers users toward</w:t>
      </w:r>
      <w:r>
        <w:t xml:space="preserve"> </w:t>
      </w:r>
      <w:r>
        <w:rPr>
          <w:b/>
          <w:bCs/>
        </w:rPr>
        <w:t xml:space="preserve">legitimate tariff engineering opportunities</w:t>
      </w:r>
      <w:r>
        <w:t xml:space="preserve"> </w:t>
      </w:r>
      <w:r>
        <w:t xml:space="preserve">and away from any pitfalls. With careful tuning and user feedback, the tool can continuously improve, driving real savings while upholding the standards of U.S. customs regulations.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2025-06-11T02:36:34Z</dcterms:created>
  <dcterms:modified xsi:type="dcterms:W3CDTF">2025-06-11T02:36:34Z</dcterms:modified>
</cp:coreProperties>
</file>

<file path=docProps/custom.xml><?xml version="1.0" encoding="utf-8"?>
<Properties xmlns="http://schemas.openxmlformats.org/officeDocument/2006/custom-properties" xmlns:vt="http://schemas.openxmlformats.org/officeDocument/2006/docPropsVTypes"/>
</file>