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07" w:rsidRDefault="000C5D07" w:rsidP="000C5D07">
      <w:pPr>
        <w:autoSpaceDE w:val="0"/>
        <w:autoSpaceDN w:val="0"/>
        <w:adjustRightInd w:val="0"/>
        <w:jc w:val="left"/>
        <w:rPr>
          <w:rFonts w:ascii="TimesTenLTStd-Roman" w:hAnsi="TimesTenLTStd-Roman" w:cs="TimesTenLTStd-Roman"/>
          <w:kern w:val="0"/>
          <w:sz w:val="20"/>
          <w:szCs w:val="20"/>
        </w:rPr>
      </w:pPr>
      <w:r>
        <w:rPr>
          <w:rFonts w:ascii="TimesTenLTStd-Roman" w:hAnsi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hAnsi="TimesTenLTStd-Roman" w:cs="TimesTenLTStd-Roman"/>
          <w:kern w:val="0"/>
          <w:sz w:val="20"/>
          <w:szCs w:val="20"/>
        </w:rPr>
        <w:t xml:space="preserve">                        </w:t>
      </w:r>
      <w:r w:rsidR="009D7850">
        <w:rPr>
          <w:rFonts w:ascii="TimesTenLTStd-Roman" w:hAnsi="TimesTenLTStd-Roman" w:cs="TimesTenLTStd-Roman"/>
          <w:kern w:val="0"/>
          <w:sz w:val="20"/>
          <w:szCs w:val="20"/>
        </w:rPr>
        <w:t xml:space="preserve"> </w:t>
      </w:r>
      <w:r w:rsidR="009D7850">
        <w:rPr>
          <w:b/>
          <w:bCs/>
        </w:rPr>
        <w:t>Home Work 3</w:t>
      </w:r>
    </w:p>
    <w:p w:rsidR="000C5D07" w:rsidRPr="000C5D07" w:rsidRDefault="000C5D07" w:rsidP="00AC0BE7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>T</w:t>
      </w:r>
      <w:r w:rsidR="00020AD2">
        <w:t xml:space="preserve">he data file </w:t>
      </w:r>
      <w:proofErr w:type="spellStart"/>
      <w:r w:rsidR="00020AD2">
        <w:t>us_macro_q</w:t>
      </w:r>
      <w:r w:rsidRPr="000C5D07">
        <w:t>uarterly</w:t>
      </w:r>
      <w:proofErr w:type="spellEnd"/>
      <w:r w:rsidRPr="000C5D07">
        <w:t>, which contains quarterly</w:t>
      </w:r>
      <w:r>
        <w:t xml:space="preserve"> </w:t>
      </w:r>
      <w:r w:rsidR="00AC0BE7">
        <w:t xml:space="preserve">data on several </w:t>
      </w:r>
      <w:r w:rsidRPr="000C5D07">
        <w:t>macroeconomic series for the United States; the data are</w:t>
      </w:r>
      <w:r>
        <w:t xml:space="preserve"> </w:t>
      </w:r>
      <w:r w:rsidR="00AC0BE7">
        <w:t xml:space="preserve">described in the file </w:t>
      </w:r>
      <w:proofErr w:type="spellStart"/>
      <w:r w:rsidR="00020AD2">
        <w:t>us_m</w:t>
      </w:r>
      <w:r w:rsidRPr="000C5D07">
        <w:t>acro_</w:t>
      </w:r>
      <w:r w:rsidR="00020AD2">
        <w:t>q</w:t>
      </w:r>
      <w:r w:rsidR="00020AD2" w:rsidRPr="000C5D07">
        <w:t>uarterly</w:t>
      </w:r>
      <w:r w:rsidR="00020AD2">
        <w:t>_d</w:t>
      </w:r>
      <w:r w:rsidRPr="000C5D07">
        <w:t>escription</w:t>
      </w:r>
      <w:proofErr w:type="spellEnd"/>
      <w:r w:rsidRPr="000C5D07">
        <w:t>. The variable PCEP is the</w:t>
      </w:r>
      <w:r>
        <w:t xml:space="preserve"> </w:t>
      </w:r>
      <w:r w:rsidRPr="000C5D07">
        <w:t>price index for personal consumption expenditures from the U.S. National</w:t>
      </w:r>
      <w:r>
        <w:t xml:space="preserve"> </w:t>
      </w:r>
      <w:r w:rsidRPr="000C5D07">
        <w:t>Income and Product Accounts. In this exercise you will construct forecasting</w:t>
      </w:r>
      <w:r>
        <w:t xml:space="preserve"> </w:t>
      </w:r>
      <w:r w:rsidRPr="000C5D07">
        <w:t>models for the rate of inflation, based on PCEP. For this analysis, use</w:t>
      </w:r>
      <w:r>
        <w:t xml:space="preserve"> </w:t>
      </w:r>
      <w:r w:rsidRPr="000C5D07">
        <w:t xml:space="preserve">the sample period </w:t>
      </w:r>
      <w:proofErr w:type="gramStart"/>
      <w:r w:rsidRPr="000C5D07">
        <w:t>1963:Q</w:t>
      </w:r>
      <w:proofErr w:type="gramEnd"/>
      <w:r w:rsidRPr="000C5D07">
        <w:t>1–2012:Q4 (where data before 1963 may be used,</w:t>
      </w:r>
      <w:r>
        <w:t xml:space="preserve"> </w:t>
      </w:r>
      <w:r w:rsidRPr="000C5D07">
        <w:t>as necessary, as initial values for lags in regressions).</w:t>
      </w:r>
    </w:p>
    <w:p w:rsidR="000C5D07" w:rsidRPr="000C5D07" w:rsidRDefault="00AC0BE7" w:rsidP="00AC0BE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proofErr w:type="spellStart"/>
      <w:r>
        <w:t>i</w:t>
      </w:r>
      <w:proofErr w:type="spellEnd"/>
      <w:r>
        <w:t xml:space="preserve">. </w:t>
      </w:r>
      <w:r w:rsidR="000C5D07" w:rsidRPr="000C5D07">
        <w:t>Compute the inflation rate,</w:t>
      </w:r>
      <w:r w:rsidRPr="00AC0BE7">
        <w:rPr>
          <w:position w:val="-12"/>
        </w:rPr>
        <w:object w:dxaOrig="3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21.5pt" o:ole="">
            <v:imagedata r:id="rId7" o:title=""/>
          </v:shape>
          <o:OLEObject Type="Embed" ProgID="Equation.DSMT4" ShapeID="_x0000_i1025" DrawAspect="Content" ObjectID="_1604778045" r:id="rId8"/>
        </w:object>
      </w:r>
      <w:r w:rsidR="000C5D07" w:rsidRPr="000C5D07">
        <w:t>.</w:t>
      </w:r>
      <w:r w:rsidR="000C5D07">
        <w:t xml:space="preserve"> </w:t>
      </w:r>
      <w:r w:rsidR="000C5D07" w:rsidRPr="000C5D07">
        <w:t xml:space="preserve">What are the units of </w:t>
      </w:r>
      <w:r w:rsidRPr="00AC0BE7">
        <w:rPr>
          <w:position w:val="-10"/>
        </w:rPr>
        <w:object w:dxaOrig="440" w:dyaOrig="320">
          <v:shape id="_x0000_i1026" type="#_x0000_t75" style="width:21.5pt;height:14.5pt" o:ole="">
            <v:imagedata r:id="rId9" o:title=""/>
          </v:shape>
          <o:OLEObject Type="Embed" ProgID="Equation.DSMT4" ShapeID="_x0000_i1026" DrawAspect="Content" ObjectID="_1604778046" r:id="rId10"/>
        </w:object>
      </w:r>
      <w:r>
        <w:t xml:space="preserve">? (Is </w:t>
      </w:r>
      <w:r w:rsidRPr="00AC0BE7">
        <w:rPr>
          <w:position w:val="-10"/>
        </w:rPr>
        <w:object w:dxaOrig="440" w:dyaOrig="320">
          <v:shape id="_x0000_i1027" type="#_x0000_t75" style="width:21.5pt;height:14.5pt" o:ole="">
            <v:imagedata r:id="rId11" o:title=""/>
          </v:shape>
          <o:OLEObject Type="Embed" ProgID="Equation.DSMT4" ShapeID="_x0000_i1027" DrawAspect="Content" ObjectID="_1604778047" r:id="rId12"/>
        </w:object>
      </w:r>
      <w:r w:rsidR="000C5D07" w:rsidRPr="000C5D07">
        <w:t>measured in dollars, percentage</w:t>
      </w:r>
      <w:r w:rsidR="000C5D07">
        <w:t xml:space="preserve"> </w:t>
      </w:r>
      <w:r w:rsidR="000C5D07" w:rsidRPr="000C5D07">
        <w:t>points, percentage per quarter, percentage per year, or something</w:t>
      </w:r>
      <w:r w:rsidR="000C5D07">
        <w:t xml:space="preserve"> </w:t>
      </w:r>
      <w:r w:rsidR="000C5D07" w:rsidRPr="000C5D07">
        <w:t>else? Explain.)</w:t>
      </w:r>
    </w:p>
    <w:p w:rsidR="000C5D07" w:rsidRPr="000C5D07" w:rsidRDefault="000C5D07" w:rsidP="00AC0BE7">
      <w:pPr>
        <w:autoSpaceDE w:val="0"/>
        <w:autoSpaceDN w:val="0"/>
        <w:adjustRightInd w:val="0"/>
        <w:spacing w:line="360" w:lineRule="auto"/>
        <w:ind w:leftChars="150" w:left="315"/>
        <w:jc w:val="left"/>
      </w:pPr>
      <w:r w:rsidRPr="000C5D07">
        <w:t xml:space="preserve">ii. Plot the value of </w:t>
      </w:r>
      <w:r w:rsidR="00AC0BE7" w:rsidRPr="00AC0BE7">
        <w:rPr>
          <w:position w:val="-10"/>
        </w:rPr>
        <w:object w:dxaOrig="440" w:dyaOrig="320">
          <v:shape id="_x0000_i1028" type="#_x0000_t75" style="width:21.5pt;height:14.5pt" o:ole="">
            <v:imagedata r:id="rId13" o:title=""/>
          </v:shape>
          <o:OLEObject Type="Embed" ProgID="Equation.DSMT4" ShapeID="_x0000_i1028" DrawAspect="Content" ObjectID="_1604778048" r:id="rId14"/>
        </w:object>
      </w:r>
      <w:r w:rsidRPr="000C5D07">
        <w:t>from 1963:Q1 through 2012:Q4. Based on the</w:t>
      </w:r>
      <w:r w:rsidR="00AC0BE7">
        <w:rPr>
          <w:rFonts w:hint="eastAsia"/>
        </w:rPr>
        <w:t xml:space="preserve"> </w:t>
      </w:r>
      <w:r w:rsidR="00AC0BE7">
        <w:t xml:space="preserve">plot, do you </w:t>
      </w:r>
      <w:r w:rsidRPr="000C5D07">
        <w:t xml:space="preserve">think that </w:t>
      </w:r>
      <w:r w:rsidR="00AC0BE7" w:rsidRPr="00AC0BE7">
        <w:rPr>
          <w:position w:val="-10"/>
        </w:rPr>
        <w:object w:dxaOrig="440" w:dyaOrig="320">
          <v:shape id="_x0000_i1029" type="#_x0000_t75" style="width:21.5pt;height:14.5pt" o:ole="">
            <v:imagedata r:id="rId15" o:title=""/>
          </v:shape>
          <o:OLEObject Type="Embed" ProgID="Equation.DSMT4" ShapeID="_x0000_i1029" DrawAspect="Content" ObjectID="_1604778049" r:id="rId16"/>
        </w:object>
      </w:r>
      <w:r w:rsidRPr="000C5D07">
        <w:t xml:space="preserve"> has a stochastic trend? Explain.</w:t>
      </w:r>
    </w:p>
    <w:p w:rsidR="000C5D07" w:rsidRPr="000C5D07" w:rsidRDefault="000C5D07" w:rsidP="00C7694B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C5D07">
        <w:t xml:space="preserve"> i. Compute the first four autocorrelations of</w:t>
      </w:r>
      <w:r w:rsidR="00C7694B" w:rsidRPr="00C7694B">
        <w:rPr>
          <w:position w:val="-10"/>
        </w:rPr>
        <w:object w:dxaOrig="560" w:dyaOrig="320">
          <v:shape id="_x0000_i1030" type="#_x0000_t75" style="width:28.5pt;height:14.5pt" o:ole="">
            <v:imagedata r:id="rId17" o:title=""/>
          </v:shape>
          <o:OLEObject Type="Embed" ProgID="Equation.DSMT4" ShapeID="_x0000_i1030" DrawAspect="Content" ObjectID="_1604778050" r:id="rId18"/>
        </w:object>
      </w:r>
      <w:r w:rsidR="00C7694B">
        <w:t xml:space="preserve"> </w:t>
      </w:r>
      <w:r w:rsidRPr="000C5D07">
        <w:t>.</w:t>
      </w:r>
    </w:p>
    <w:p w:rsidR="003C195D" w:rsidRDefault="000C5D07" w:rsidP="00C7694B">
      <w:pPr>
        <w:pStyle w:val="a3"/>
        <w:autoSpaceDE w:val="0"/>
        <w:autoSpaceDN w:val="0"/>
        <w:adjustRightInd w:val="0"/>
        <w:spacing w:line="360" w:lineRule="auto"/>
        <w:ind w:left="360" w:firstLineChars="50" w:firstLine="105"/>
        <w:jc w:val="left"/>
      </w:pPr>
      <w:r w:rsidRPr="000C5D07">
        <w:t xml:space="preserve">ii. Plot the value of </w:t>
      </w:r>
      <w:r w:rsidR="00C7694B" w:rsidRPr="00C7694B">
        <w:rPr>
          <w:position w:val="-10"/>
        </w:rPr>
        <w:object w:dxaOrig="560" w:dyaOrig="320">
          <v:shape id="_x0000_i1031" type="#_x0000_t75" style="width:28.5pt;height:14.5pt" o:ole="">
            <v:imagedata r:id="rId19" o:title=""/>
          </v:shape>
          <o:OLEObject Type="Embed" ProgID="Equation.DSMT4" ShapeID="_x0000_i1031" DrawAspect="Content" ObjectID="_1604778051" r:id="rId20"/>
        </w:object>
      </w:r>
      <w:r w:rsidRPr="000C5D07">
        <w:t>from 1963:Q1 through 2012:Q4. The plot</w:t>
      </w:r>
      <w:r w:rsidR="00C7694B">
        <w:rPr>
          <w:rFonts w:hint="eastAsia"/>
        </w:rPr>
        <w:t xml:space="preserve"> </w:t>
      </w:r>
      <w:r w:rsidRPr="000C5D07">
        <w:t>should look “choppy” or “jagged.” Explain why this behavior is</w:t>
      </w:r>
      <w:r w:rsidR="00C7694B">
        <w:rPr>
          <w:rFonts w:hint="eastAsia"/>
        </w:rPr>
        <w:t xml:space="preserve"> </w:t>
      </w:r>
      <w:r w:rsidRPr="000C5D07">
        <w:t>consistent with the first autocorrelation that you computed in part (i).</w:t>
      </w:r>
    </w:p>
    <w:p w:rsidR="00C7694B" w:rsidRPr="00C7694B" w:rsidRDefault="00C7694B" w:rsidP="00AB289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C7694B">
        <w:t xml:space="preserve"> i. Run an OLS regression of </w:t>
      </w:r>
      <w:r w:rsidRPr="00C7694B">
        <w:rPr>
          <w:position w:val="-10"/>
        </w:rPr>
        <w:object w:dxaOrig="560" w:dyaOrig="320">
          <v:shape id="_x0000_i1032" type="#_x0000_t75" style="width:28.5pt;height:14.5pt" o:ole="">
            <v:imagedata r:id="rId21" o:title=""/>
          </v:shape>
          <o:OLEObject Type="Embed" ProgID="Equation.DSMT4" ShapeID="_x0000_i1032" DrawAspect="Content" ObjectID="_1604778052" r:id="rId22"/>
        </w:object>
      </w:r>
      <w:r>
        <w:t xml:space="preserve"> </w:t>
      </w:r>
      <w:r w:rsidRPr="00C7694B">
        <w:t xml:space="preserve"> on </w:t>
      </w:r>
      <w:r w:rsidRPr="00C7694B">
        <w:rPr>
          <w:position w:val="-12"/>
        </w:rPr>
        <w:object w:dxaOrig="740" w:dyaOrig="360">
          <v:shape id="_x0000_i1033" type="#_x0000_t75" style="width:36pt;height:21.5pt" o:ole="">
            <v:imagedata r:id="rId23" o:title=""/>
          </v:shape>
          <o:OLEObject Type="Embed" ProgID="Equation.DSMT4" ShapeID="_x0000_i1033" DrawAspect="Content" ObjectID="_1604778053" r:id="rId24"/>
        </w:object>
      </w:r>
      <w:r>
        <w:t xml:space="preserve"> </w:t>
      </w:r>
      <w:r w:rsidRPr="00C7694B">
        <w:t>. Does knowing the</w:t>
      </w:r>
      <w:r>
        <w:t xml:space="preserve"> </w:t>
      </w:r>
      <w:r w:rsidRPr="00C7694B">
        <w:t>change in inflation this quarter help predict the change in inflation</w:t>
      </w:r>
      <w:r w:rsidR="00AB2895">
        <w:t xml:space="preserve"> </w:t>
      </w:r>
      <w:r w:rsidRPr="00C7694B">
        <w:t>next quarter? Explain.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50" w:firstLine="105"/>
        <w:jc w:val="left"/>
      </w:pPr>
      <w:r w:rsidRPr="00C7694B">
        <w:t xml:space="preserve">ii. Estimate an AR(2) model for </w:t>
      </w:r>
      <w:r w:rsidR="00AB2895" w:rsidRPr="00AB2895">
        <w:rPr>
          <w:position w:val="-10"/>
        </w:rPr>
        <w:object w:dxaOrig="560" w:dyaOrig="320">
          <v:shape id="_x0000_i1034" type="#_x0000_t75" style="width:28.5pt;height:14.5pt" o:ole="">
            <v:imagedata r:id="rId25" o:title=""/>
          </v:shape>
          <o:OLEObject Type="Embed" ProgID="Equation.DSMT4" ShapeID="_x0000_i1034" DrawAspect="Content" ObjectID="_1604778054" r:id="rId26"/>
        </w:object>
      </w:r>
      <w:r w:rsidRPr="00C7694B">
        <w:t>. Is the AR(2) model better</w:t>
      </w:r>
      <w:r w:rsidR="00AB2895">
        <w:t xml:space="preserve"> </w:t>
      </w:r>
      <w:r w:rsidRPr="00C7694B">
        <w:t>than an AR(1) model? Explain.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 xml:space="preserve">iii. </w:t>
      </w:r>
      <w:r w:rsidR="00AB2895">
        <w:t xml:space="preserve"> </w:t>
      </w:r>
      <w:r w:rsidRPr="00C7694B">
        <w:t xml:space="preserve">Estimate an AR(p) model for </w:t>
      </w:r>
      <w:r w:rsidR="00AB2895" w:rsidRPr="00AB2895">
        <w:rPr>
          <w:position w:val="-10"/>
        </w:rPr>
        <w:object w:dxaOrig="1180" w:dyaOrig="320">
          <v:shape id="_x0000_i1035" type="#_x0000_t75" style="width:57.5pt;height:14.5pt" o:ole="">
            <v:imagedata r:id="rId27" o:title=""/>
          </v:shape>
          <o:OLEObject Type="Embed" ProgID="Equation.DSMT4" ShapeID="_x0000_i1035" DrawAspect="Content" ObjectID="_1604778055" r:id="rId28"/>
        </w:object>
      </w:r>
      <w:r w:rsidRPr="00C7694B">
        <w:t>. What lag length is</w:t>
      </w:r>
      <w:r w:rsidR="00AB2895">
        <w:t xml:space="preserve"> </w:t>
      </w:r>
      <w:r w:rsidRPr="00C7694B">
        <w:t>chosen by BIC? What lag length is chosen by AIC?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iv. Use the AR(2) model to predict the change in inflation from</w:t>
      </w:r>
      <w:r w:rsidR="00AB2895">
        <w:t xml:space="preserve"> </w:t>
      </w:r>
      <w:r w:rsidRPr="00C7694B">
        <w:t xml:space="preserve">2012:Q4 to 2013:Q1—that is, predict the value of </w:t>
      </w:r>
      <w:r w:rsidR="00AB2895" w:rsidRPr="00AB2895">
        <w:rPr>
          <w:position w:val="-14"/>
        </w:rPr>
        <w:object w:dxaOrig="1020" w:dyaOrig="380">
          <v:shape id="_x0000_i1036" type="#_x0000_t75" style="width:49.95pt;height:21.5pt" o:ole="">
            <v:imagedata r:id="rId29" o:title=""/>
          </v:shape>
          <o:OLEObject Type="Embed" ProgID="Equation.DSMT4" ShapeID="_x0000_i1036" DrawAspect="Content" ObjectID="_1604778056" r:id="rId30"/>
        </w:object>
      </w:r>
      <w:r w:rsidRPr="00C7694B">
        <w:t>.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v. Use the AR(2) model to predict the level of the inflation rate in</w:t>
      </w:r>
      <w:r w:rsidR="00AB2895">
        <w:t xml:space="preserve"> </w:t>
      </w:r>
      <w:r w:rsidRPr="00C7694B">
        <w:t xml:space="preserve">2013:Q1—that is, </w:t>
      </w:r>
      <w:r w:rsidR="00AB2895" w:rsidRPr="00AB2895">
        <w:rPr>
          <w:position w:val="-14"/>
        </w:rPr>
        <w:object w:dxaOrig="880" w:dyaOrig="380">
          <v:shape id="_x0000_i1037" type="#_x0000_t75" style="width:43.5pt;height:21.5pt" o:ole="">
            <v:imagedata r:id="rId31" o:title=""/>
          </v:shape>
          <o:OLEObject Type="Embed" ProgID="Equation.DSMT4" ShapeID="_x0000_i1037" DrawAspect="Content" ObjectID="_1604778057" r:id="rId32"/>
        </w:object>
      </w:r>
      <w:r w:rsidR="00AB2895">
        <w:t xml:space="preserve"> </w:t>
      </w:r>
      <w:r w:rsidRPr="00C7694B">
        <w:t>.</w:t>
      </w:r>
    </w:p>
    <w:p w:rsidR="00C7694B" w:rsidRPr="00C7694B" w:rsidRDefault="00AB2895" w:rsidP="00AB289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 xml:space="preserve"> </w:t>
      </w:r>
      <w:r w:rsidR="00C7694B" w:rsidRPr="00C7694B">
        <w:t>i. Use the ADF test for t</w:t>
      </w:r>
      <w:r w:rsidR="00FB3A3E">
        <w:t>he regression in Equation</w:t>
      </w:r>
      <w:r w:rsidR="00383266">
        <w:t xml:space="preserve"> </w:t>
      </w:r>
      <w:r w:rsidR="00383266" w:rsidRPr="00383266">
        <w:rPr>
          <w:position w:val="-14"/>
        </w:rPr>
        <w:object w:dxaOrig="5060" w:dyaOrig="380">
          <v:shape id="_x0000_i1052" type="#_x0000_t75" style="width:253.05pt;height:18.8pt" o:ole="">
            <v:imagedata r:id="rId33" o:title=""/>
          </v:shape>
          <o:OLEObject Type="Embed" ProgID="Equation.DSMT4" ShapeID="_x0000_i1052" DrawAspect="Content" ObjectID="_1604778058" r:id="rId34"/>
        </w:object>
      </w:r>
      <w:r w:rsidR="00383266">
        <w:t xml:space="preserve"> </w:t>
      </w:r>
      <w:r w:rsidR="00C7694B" w:rsidRPr="00C7694B">
        <w:t>with two</w:t>
      </w:r>
      <w:r>
        <w:t xml:space="preserve"> </w:t>
      </w:r>
      <w:r w:rsidR="00311A95">
        <w:t xml:space="preserve">lags of </w:t>
      </w:r>
      <w:r w:rsidR="00311A95" w:rsidRPr="00311A95">
        <w:rPr>
          <w:position w:val="-10"/>
        </w:rPr>
        <w:object w:dxaOrig="560" w:dyaOrig="320">
          <v:shape id="_x0000_i1038" type="#_x0000_t75" style="width:28.5pt;height:14.5pt" o:ole="">
            <v:imagedata r:id="rId35" o:title=""/>
          </v:shape>
          <o:OLEObject Type="Embed" ProgID="Equation.DSMT4" ShapeID="_x0000_i1038" DrawAspect="Content" ObjectID="_1604778059" r:id="rId36"/>
        </w:object>
      </w:r>
      <w:r w:rsidR="00311A95">
        <w:t xml:space="preserve"> </w:t>
      </w:r>
      <w:r w:rsidR="00C7694B" w:rsidRPr="00C7694B">
        <w:t xml:space="preserve">to test for a stochastic trend in </w:t>
      </w:r>
      <w:r w:rsidR="00311A95" w:rsidRPr="00311A95">
        <w:rPr>
          <w:position w:val="-10"/>
        </w:rPr>
        <w:object w:dxaOrig="440" w:dyaOrig="320">
          <v:shape id="_x0000_i1039" type="#_x0000_t75" style="width:21.5pt;height:14.5pt" o:ole="">
            <v:imagedata r:id="rId37" o:title=""/>
          </v:shape>
          <o:OLEObject Type="Embed" ProgID="Equation.DSMT4" ShapeID="_x0000_i1039" DrawAspect="Content" ObjectID="_1604778060" r:id="rId38"/>
        </w:object>
      </w:r>
      <w:r w:rsidR="00311A95">
        <w:t xml:space="preserve"> </w:t>
      </w:r>
      <w:r w:rsidR="00C7694B" w:rsidRPr="00C7694B">
        <w:t>.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ii. Is the A</w:t>
      </w:r>
      <w:r w:rsidR="00311A95">
        <w:t>DF test based</w:t>
      </w:r>
      <w:r w:rsidR="00383266">
        <w:t xml:space="preserve"> on Equation </w:t>
      </w:r>
      <w:bookmarkStart w:id="0" w:name="_GoBack"/>
      <w:bookmarkEnd w:id="0"/>
      <w:r w:rsidR="00383266" w:rsidRPr="00383266">
        <w:rPr>
          <w:position w:val="-14"/>
        </w:rPr>
        <w:object w:dxaOrig="5060" w:dyaOrig="380">
          <v:shape id="_x0000_i1058" type="#_x0000_t75" style="width:253.05pt;height:18.8pt" o:ole="">
            <v:imagedata r:id="rId33" o:title=""/>
          </v:shape>
          <o:OLEObject Type="Embed" ProgID="Equation.DSMT4" ShapeID="_x0000_i1058" DrawAspect="Content" ObjectID="_1604778061" r:id="rId39"/>
        </w:object>
      </w:r>
      <w:r w:rsidR="00383266">
        <w:t xml:space="preserve"> </w:t>
      </w:r>
      <w:r w:rsidRPr="00C7694B">
        <w:t>preferred to the test</w:t>
      </w:r>
      <w:r w:rsidR="00AB2895">
        <w:t xml:space="preserve"> </w:t>
      </w:r>
      <w:r w:rsidR="00383266">
        <w:t xml:space="preserve">based on Equation </w:t>
      </w:r>
      <w:r w:rsidR="00383266" w:rsidRPr="00383266">
        <w:rPr>
          <w:position w:val="-14"/>
        </w:rPr>
        <w:object w:dxaOrig="5520" w:dyaOrig="380">
          <v:shape id="_x0000_i1057" type="#_x0000_t75" style="width:276.2pt;height:18.8pt" o:ole="">
            <v:imagedata r:id="rId40" o:title=""/>
          </v:shape>
          <o:OLEObject Type="Embed" ProgID="Equation.DSMT4" ShapeID="_x0000_i1057" DrawAspect="Content" ObjectID="_1604778062" r:id="rId41"/>
        </w:object>
      </w:r>
      <w:r w:rsidRPr="00C7694B">
        <w:t>for testing for stochastic trend in</w:t>
      </w:r>
      <w:r w:rsidR="00311A95">
        <w:t xml:space="preserve"> </w:t>
      </w:r>
      <w:r w:rsidR="00311A95" w:rsidRPr="00311A95">
        <w:rPr>
          <w:position w:val="-10"/>
        </w:rPr>
        <w:object w:dxaOrig="440" w:dyaOrig="320">
          <v:shape id="_x0000_i1040" type="#_x0000_t75" style="width:21.5pt;height:14.5pt" o:ole="">
            <v:imagedata r:id="rId42" o:title=""/>
          </v:shape>
          <o:OLEObject Type="Embed" ProgID="Equation.DSMT4" ShapeID="_x0000_i1040" DrawAspect="Content" ObjectID="_1604778063" r:id="rId43"/>
        </w:object>
      </w:r>
      <w:r w:rsidRPr="00C7694B">
        <w:t>?</w:t>
      </w:r>
      <w:r w:rsidR="00AB2895">
        <w:t xml:space="preserve"> </w:t>
      </w:r>
      <w:r w:rsidRPr="00C7694B">
        <w:t>Explain.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ii</w:t>
      </w:r>
      <w:r w:rsidR="00311A95">
        <w:t xml:space="preserve">i. In (i) you used two lags of </w:t>
      </w:r>
      <w:r w:rsidR="00311A95" w:rsidRPr="00311A95">
        <w:rPr>
          <w:position w:val="-10"/>
        </w:rPr>
        <w:object w:dxaOrig="560" w:dyaOrig="320">
          <v:shape id="_x0000_i1041" type="#_x0000_t75" style="width:28.5pt;height:14.5pt" o:ole="">
            <v:imagedata r:id="rId44" o:title=""/>
          </v:shape>
          <o:OLEObject Type="Embed" ProgID="Equation.DSMT4" ShapeID="_x0000_i1041" DrawAspect="Content" ObjectID="_1604778064" r:id="rId45"/>
        </w:object>
      </w:r>
      <w:r w:rsidRPr="00C7694B">
        <w:t>. Should you use more lags? Fewer</w:t>
      </w:r>
      <w:r w:rsidR="00AB2895">
        <w:t xml:space="preserve"> </w:t>
      </w:r>
      <w:r w:rsidRPr="00C7694B">
        <w:t>lags? Explain.</w:t>
      </w:r>
    </w:p>
    <w:p w:rsidR="00C7694B" w:rsidRPr="00C7694B" w:rsidRDefault="00C7694B" w:rsidP="00AB289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iv. Based on the test you carried out in (i), does the AR model for</w:t>
      </w:r>
      <w:r w:rsidR="00AB2895">
        <w:t xml:space="preserve"> </w:t>
      </w:r>
      <w:r w:rsidR="00311A95" w:rsidRPr="00311A95">
        <w:rPr>
          <w:position w:val="-10"/>
        </w:rPr>
        <w:object w:dxaOrig="440" w:dyaOrig="320">
          <v:shape id="_x0000_i1042" type="#_x0000_t75" style="width:21.5pt;height:14.5pt" o:ole="">
            <v:imagedata r:id="rId46" o:title=""/>
          </v:shape>
          <o:OLEObject Type="Embed" ProgID="Equation.DSMT4" ShapeID="_x0000_i1042" DrawAspect="Content" ObjectID="_1604778065" r:id="rId47"/>
        </w:object>
      </w:r>
      <w:r w:rsidRPr="00C7694B">
        <w:t>contain a unit root? Explain carefully. (Hint: Does the failure</w:t>
      </w:r>
      <w:r w:rsidR="00AB2895">
        <w:t xml:space="preserve"> </w:t>
      </w:r>
      <w:r w:rsidRPr="00C7694B">
        <w:t>to reject a null hypothesis mean that the null hypothesis is true?)</w:t>
      </w:r>
    </w:p>
    <w:p w:rsidR="00C7694B" w:rsidRPr="00C7694B" w:rsidRDefault="00C7694B" w:rsidP="00AB2895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C7694B">
        <w:t>Use the QLR test with 15% trimming to test the stability of the coefficients</w:t>
      </w:r>
      <w:r w:rsidR="00AB2895">
        <w:t xml:space="preserve"> </w:t>
      </w:r>
      <w:r w:rsidR="00311A95">
        <w:t xml:space="preserve">in the AR(2) model for </w:t>
      </w:r>
      <w:r w:rsidR="00311A95" w:rsidRPr="00311A95">
        <w:rPr>
          <w:position w:val="-10"/>
        </w:rPr>
        <w:object w:dxaOrig="560" w:dyaOrig="320">
          <v:shape id="_x0000_i1043" type="#_x0000_t75" style="width:28.5pt;height:14.5pt" o:ole="">
            <v:imagedata r:id="rId48" o:title=""/>
          </v:shape>
          <o:OLEObject Type="Embed" ProgID="Equation.DSMT4" ShapeID="_x0000_i1043" DrawAspect="Content" ObjectID="_1604778066" r:id="rId49"/>
        </w:object>
      </w:r>
      <w:r w:rsidRPr="00C7694B">
        <w:t>. Is the AR(2) model stable? Explain.</w:t>
      </w:r>
    </w:p>
    <w:p w:rsidR="00C7694B" w:rsidRPr="00C7694B" w:rsidRDefault="00311A95" w:rsidP="00FB3A3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>
        <w:t xml:space="preserve">i. Using the AR(2) model for </w:t>
      </w:r>
      <w:r w:rsidRPr="00311A95">
        <w:rPr>
          <w:position w:val="-10"/>
        </w:rPr>
        <w:object w:dxaOrig="560" w:dyaOrig="320">
          <v:shape id="_x0000_i1044" type="#_x0000_t75" style="width:28.5pt;height:14.5pt" o:ole="">
            <v:imagedata r:id="rId50" o:title=""/>
          </v:shape>
          <o:OLEObject Type="Embed" ProgID="Equation.DSMT4" ShapeID="_x0000_i1044" DrawAspect="Content" ObjectID="_1604778067" r:id="rId51"/>
        </w:object>
      </w:r>
      <w:r w:rsidR="00C7694B" w:rsidRPr="00C7694B">
        <w:t>with a sample period that</w:t>
      </w:r>
      <w:r w:rsidR="00AB2895">
        <w:t xml:space="preserve"> </w:t>
      </w:r>
      <w:r w:rsidR="00C7694B" w:rsidRPr="00C7694B">
        <w:t>begins in 1963:Q1, compute pseudo out-of-sample forecasts</w:t>
      </w:r>
      <w:r w:rsidR="00FB3A3E">
        <w:t xml:space="preserve"> </w:t>
      </w:r>
      <w:r w:rsidR="00C7694B" w:rsidRPr="00C7694B">
        <w:t>for the change in inflation beginning in 2003:Q1 and</w:t>
      </w:r>
      <w:r w:rsidR="00FB3A3E">
        <w:t xml:space="preserve"> </w:t>
      </w:r>
      <w:r w:rsidR="00C7694B" w:rsidRPr="00C7694B">
        <w:t xml:space="preserve">going through 2012:Q4. (That is, compute </w:t>
      </w:r>
      <w:r w:rsidR="0033655C" w:rsidRPr="0033655C">
        <w:rPr>
          <w:position w:val="-18"/>
        </w:rPr>
        <w:object w:dxaOrig="1300" w:dyaOrig="480">
          <v:shape id="_x0000_i1045" type="#_x0000_t75" style="width:64.5pt;height:21.5pt" o:ole="">
            <v:imagedata r:id="rId52" o:title=""/>
          </v:shape>
          <o:OLEObject Type="Embed" ProgID="Equation.DSMT4" ShapeID="_x0000_i1045" DrawAspect="Content" ObjectID="_1604778068" r:id="rId53"/>
        </w:object>
      </w:r>
      <w:r w:rsidR="00C313D3">
        <w:t xml:space="preserve"> </w:t>
      </w:r>
      <w:r w:rsidR="00C7694B" w:rsidRPr="00C7694B">
        <w:t>,</w:t>
      </w:r>
      <w:r w:rsidR="0033655C" w:rsidRPr="0033655C">
        <w:rPr>
          <w:position w:val="-18"/>
        </w:rPr>
        <w:object w:dxaOrig="1300" w:dyaOrig="480">
          <v:shape id="_x0000_i1046" type="#_x0000_t75" style="width:64.5pt;height:21.5pt" o:ole="">
            <v:imagedata r:id="rId54" o:title=""/>
          </v:shape>
          <o:OLEObject Type="Embed" ProgID="Equation.DSMT4" ShapeID="_x0000_i1046" DrawAspect="Content" ObjectID="_1604778069" r:id="rId55"/>
        </w:object>
      </w:r>
      <w:r w:rsidR="00C7694B" w:rsidRPr="00C7694B">
        <w:t xml:space="preserve">, </w:t>
      </w:r>
      <w:r w:rsidR="0033655C" w:rsidRPr="0033655C">
        <w:rPr>
          <w:position w:val="-4"/>
        </w:rPr>
        <w:object w:dxaOrig="279" w:dyaOrig="160">
          <v:shape id="_x0000_i1047" type="#_x0000_t75" style="width:14.5pt;height:7.5pt" o:ole="">
            <v:imagedata r:id="rId56" o:title=""/>
          </v:shape>
          <o:OLEObject Type="Embed" ProgID="Equation.DSMT4" ShapeID="_x0000_i1047" DrawAspect="Content" ObjectID="_1604778070" r:id="rId57"/>
        </w:object>
      </w:r>
      <w:r w:rsidR="0033655C">
        <w:t xml:space="preserve"> </w:t>
      </w:r>
      <w:r w:rsidR="00C7694B" w:rsidRPr="00C7694B">
        <w:t xml:space="preserve">, </w:t>
      </w:r>
      <w:r w:rsidR="0033655C" w:rsidRPr="0033655C">
        <w:rPr>
          <w:position w:val="-18"/>
        </w:rPr>
        <w:object w:dxaOrig="1320" w:dyaOrig="480">
          <v:shape id="_x0000_i1048" type="#_x0000_t75" style="width:64.5pt;height:21.5pt" o:ole="">
            <v:imagedata r:id="rId58" o:title=""/>
          </v:shape>
          <o:OLEObject Type="Embed" ProgID="Equation.DSMT4" ShapeID="_x0000_i1048" DrawAspect="Content" ObjectID="_1604778071" r:id="rId59"/>
        </w:object>
      </w:r>
      <w:r w:rsidR="00C7694B" w:rsidRPr="00C7694B">
        <w:t>.)</w:t>
      </w:r>
    </w:p>
    <w:p w:rsidR="00C7694B" w:rsidRPr="00C7694B" w:rsidRDefault="00C7694B" w:rsidP="00FB3A3E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ii. Are the pseudo out-of-sample forecasts biased? That is, do the</w:t>
      </w:r>
      <w:r w:rsidR="00FB3A3E">
        <w:t xml:space="preserve"> </w:t>
      </w:r>
      <w:r w:rsidRPr="00C7694B">
        <w:t>forecast errors have a nonzero mean?</w:t>
      </w:r>
    </w:p>
    <w:p w:rsidR="00C7694B" w:rsidRPr="00C7694B" w:rsidRDefault="00C7694B" w:rsidP="00FB3A3E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iii. How large is the RMSFE of the pseudo out-of-sample forecasts?</w:t>
      </w:r>
      <w:r w:rsidR="00FB3A3E">
        <w:t xml:space="preserve"> </w:t>
      </w:r>
      <w:r w:rsidRPr="00C7694B">
        <w:t>Is this consi</w:t>
      </w:r>
      <w:r w:rsidR="00311A95">
        <w:t xml:space="preserve">stent with the AR(2) model for </w:t>
      </w:r>
      <w:r w:rsidR="00311A95" w:rsidRPr="00311A95">
        <w:rPr>
          <w:position w:val="-10"/>
        </w:rPr>
        <w:object w:dxaOrig="560" w:dyaOrig="320">
          <v:shape id="_x0000_i1049" type="#_x0000_t75" style="width:28.5pt;height:14.5pt" o:ole="">
            <v:imagedata r:id="rId60" o:title=""/>
          </v:shape>
          <o:OLEObject Type="Embed" ProgID="Equation.DSMT4" ShapeID="_x0000_i1049" DrawAspect="Content" ObjectID="_1604778072" r:id="rId61"/>
        </w:object>
      </w:r>
      <w:r w:rsidR="00311A95">
        <w:t xml:space="preserve"> </w:t>
      </w:r>
      <w:r w:rsidRPr="00C7694B">
        <w:t>estimated over</w:t>
      </w:r>
      <w:r w:rsidR="00FB3A3E">
        <w:t xml:space="preserve"> </w:t>
      </w:r>
      <w:r w:rsidRPr="00C7694B">
        <w:t>the 1963:Q1–2002:Q4 sample period?</w:t>
      </w:r>
    </w:p>
    <w:p w:rsidR="00C7694B" w:rsidRDefault="00C7694B" w:rsidP="00FB3A3E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</w:pPr>
      <w:r w:rsidRPr="00C7694B">
        <w:t>iv. There is a large outlier in 2008:Q4. Why did inflation fall so much</w:t>
      </w:r>
      <w:r w:rsidR="00FB3A3E">
        <w:t xml:space="preserve"> </w:t>
      </w:r>
      <w:r w:rsidRPr="00C7694B">
        <w:t>in 2008:Q4? (Hint: Collect some data on oil prices. What happened</w:t>
      </w:r>
      <w:r w:rsidR="00FB3A3E">
        <w:t xml:space="preserve"> </w:t>
      </w:r>
      <w:r w:rsidRPr="00C7694B">
        <w:t>to oil prices during 2008?)</w:t>
      </w:r>
    </w:p>
    <w:sectPr w:rsidR="00C7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AD2" w:rsidRDefault="00020AD2" w:rsidP="00020AD2">
      <w:r>
        <w:separator/>
      </w:r>
    </w:p>
  </w:endnote>
  <w:endnote w:type="continuationSeparator" w:id="0">
    <w:p w:rsidR="00020AD2" w:rsidRDefault="00020AD2" w:rsidP="0002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Roman">
    <w:altName w:val="Times New Roman"/>
    <w:panose1 w:val="00000000000000000000"/>
    <w:charset w:val="A1"/>
    <w:family w:val="roman"/>
    <w:notTrueType/>
    <w:pitch w:val="default"/>
    <w:sig w:usb0="00000081" w:usb1="080E0000" w:usb2="00000010" w:usb3="00000000" w:csb0="00040008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AD2" w:rsidRDefault="00020AD2" w:rsidP="00020AD2">
      <w:r>
        <w:separator/>
      </w:r>
    </w:p>
  </w:footnote>
  <w:footnote w:type="continuationSeparator" w:id="0">
    <w:p w:rsidR="00020AD2" w:rsidRDefault="00020AD2" w:rsidP="00020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557B"/>
    <w:multiLevelType w:val="hybridMultilevel"/>
    <w:tmpl w:val="67FE1C88"/>
    <w:lvl w:ilvl="0" w:tplc="6B1232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141BC"/>
    <w:multiLevelType w:val="hybridMultilevel"/>
    <w:tmpl w:val="29B8E9B6"/>
    <w:lvl w:ilvl="0" w:tplc="0D2A87A4">
      <w:start w:val="1"/>
      <w:numFmt w:val="decimal"/>
      <w:lvlText w:val="%1."/>
      <w:lvlJc w:val="left"/>
      <w:pPr>
        <w:ind w:left="360" w:hanging="360"/>
      </w:pPr>
      <w:rPr>
        <w:rFonts w:ascii="TimesTenLTStd-Roman" w:hAnsi="TimesTenLTStd-Roman" w:cs="TimesTenLTStd-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272D9"/>
    <w:multiLevelType w:val="hybridMultilevel"/>
    <w:tmpl w:val="2238022C"/>
    <w:lvl w:ilvl="0" w:tplc="E1481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07"/>
    <w:rsid w:val="00020AD2"/>
    <w:rsid w:val="000C5D07"/>
    <w:rsid w:val="00311A95"/>
    <w:rsid w:val="0033655C"/>
    <w:rsid w:val="00383266"/>
    <w:rsid w:val="003C195D"/>
    <w:rsid w:val="0040641E"/>
    <w:rsid w:val="009D7850"/>
    <w:rsid w:val="00AB2895"/>
    <w:rsid w:val="00AC0BE7"/>
    <w:rsid w:val="00C313D3"/>
    <w:rsid w:val="00C7694B"/>
    <w:rsid w:val="00E83E84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0B3969"/>
  <w15:chartTrackingRefBased/>
  <w15:docId w15:val="{18F8691D-234D-4F28-AAAA-BAE72D0A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5D0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2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0A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0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rawstone@gmail.com</dc:creator>
  <cp:keywords/>
  <dc:description/>
  <cp:lastModifiedBy>rawstone@gmail.com</cp:lastModifiedBy>
  <cp:revision>6</cp:revision>
  <dcterms:created xsi:type="dcterms:W3CDTF">2018-11-26T11:42:00Z</dcterms:created>
  <dcterms:modified xsi:type="dcterms:W3CDTF">2018-11-26T14:49:00Z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