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81" w:rsidRPr="007B3629" w:rsidRDefault="007B3629">
      <w:pPr>
        <w:pStyle w:val="a3"/>
        <w:spacing w:before="9"/>
        <w:rPr>
          <w:rFonts w:ascii="Calibri" w:eastAsiaTheme="minorEastAsia" w:hint="eastAsia"/>
          <w:sz w:val="21"/>
          <w:lang w:eastAsia="zh-CN"/>
        </w:rPr>
      </w:pPr>
      <w:r>
        <w:rPr>
          <w:rFonts w:ascii="Calibri" w:eastAsiaTheme="minorEastAsia" w:hint="eastAsia"/>
          <w:sz w:val="21"/>
          <w:lang w:eastAsia="zh-CN"/>
        </w:rPr>
        <w:t xml:space="preserve"> </w:t>
      </w:r>
      <w:r>
        <w:rPr>
          <w:rFonts w:ascii="Calibri" w:eastAsiaTheme="minorEastAsia"/>
          <w:sz w:val="21"/>
          <w:lang w:eastAsia="zh-CN"/>
        </w:rPr>
        <w:t xml:space="preserve">                                                                             </w:t>
      </w:r>
      <w:r>
        <w:rPr>
          <w:b/>
          <w:bCs/>
        </w:rPr>
        <w:t>Home Work 3</w:t>
      </w:r>
    </w:p>
    <w:p w:rsidR="007B3629" w:rsidRPr="007B3629" w:rsidRDefault="007B3629" w:rsidP="007B3629">
      <w:pPr>
        <w:adjustRightInd w:val="0"/>
        <w:rPr>
          <w:rFonts w:ascii="TimesTenLTStd-Roman" w:eastAsiaTheme="minorEastAsia" w:hAnsi="TimesTenLTStd-Roman" w:cs="TimesTenLTStd-Roman" w:hint="eastAsia"/>
          <w:sz w:val="20"/>
          <w:szCs w:val="20"/>
        </w:rPr>
      </w:pPr>
      <w:r>
        <w:rPr>
          <w:rFonts w:ascii="Calibri" w:eastAsiaTheme="minorEastAsia"/>
          <w:sz w:val="21"/>
          <w:lang w:eastAsia="zh-CN"/>
        </w:rPr>
        <w:t xml:space="preserve">2. </w:t>
      </w:r>
      <w:r>
        <w:rPr>
          <w:rFonts w:ascii="TimesTenLTStd-Roman" w:eastAsiaTheme="minorEastAsia" w:hAnsi="TimesTenLTStd-Roman" w:cs="TimesTenLTStd-Roman"/>
          <w:sz w:val="20"/>
          <w:szCs w:val="20"/>
        </w:rPr>
        <w:t>Read the boxes “Can You Beat the Market? Part I” and “</w:t>
      </w:r>
      <w:r>
        <w:rPr>
          <w:rFonts w:ascii="TimesTenLTStd-Roman" w:eastAsiaTheme="minorEastAsia" w:hAnsi="TimesTenLTStd-Roman" w:cs="TimesTenLTStd-Roman"/>
          <w:sz w:val="20"/>
          <w:szCs w:val="20"/>
        </w:rPr>
        <w:t xml:space="preserve">Can You Beat </w:t>
      </w:r>
      <w:r>
        <w:rPr>
          <w:rFonts w:ascii="TimesTenLTStd-Roman" w:eastAsiaTheme="minorEastAsia" w:hAnsi="TimesTenLTStd-Roman" w:cs="TimesTenLTStd-Roman"/>
          <w:sz w:val="20"/>
          <w:szCs w:val="20"/>
        </w:rPr>
        <w:t xml:space="preserve">the </w:t>
      </w:r>
      <w:r>
        <w:rPr>
          <w:rFonts w:ascii="TimesTenLTStd-Roman" w:eastAsiaTheme="minorEastAsia" w:hAnsi="TimesTenLTStd-Roman" w:cs="TimesTenLTStd-Roman"/>
          <w:sz w:val="20"/>
          <w:szCs w:val="20"/>
        </w:rPr>
        <w:t>Market? Part II”</w:t>
      </w:r>
      <w:r>
        <w:rPr>
          <w:rFonts w:ascii="TimesTenLTStd-Roman" w:eastAsiaTheme="minorEastAsia" w:hAnsi="TimesTenLTStd-Roman" w:cs="TimesTenLTStd-Roman"/>
          <w:sz w:val="20"/>
          <w:szCs w:val="20"/>
        </w:rPr>
        <w:t>.</w:t>
      </w:r>
    </w:p>
    <w:p w:rsidR="007B3629" w:rsidRDefault="007B3629">
      <w:pPr>
        <w:pStyle w:val="a3"/>
        <w:spacing w:before="9"/>
        <w:rPr>
          <w:rFonts w:ascii="Calibri"/>
          <w:sz w:val="21"/>
        </w:rPr>
      </w:pPr>
    </w:p>
    <w:p w:rsidR="00566481" w:rsidRDefault="00234C04">
      <w:pPr>
        <w:tabs>
          <w:tab w:val="left" w:pos="8749"/>
        </w:tabs>
        <w:spacing w:before="90"/>
        <w:ind w:left="289"/>
        <w:rPr>
          <w:rFonts w:ascii="Arial"/>
          <w:b/>
          <w:sz w:val="25"/>
        </w:rPr>
      </w:pPr>
      <w:r>
        <w:pict>
          <v:group id="_x0000_s1027" style="position:absolute;left:0;text-align:left;margin-left:44.45pt;margin-top:3.1pt;width:6in;height:520.2pt;z-index:-6088;mso-position-horizontal-relative:page" coordorigin="889,62" coordsize="8640,10404">
            <v:shape id="_x0000_s1035" style="position:absolute;left:889;top:277;width:8640;height:10188" coordorigin="889,278" coordsize="8640,10188" path="m9529,278r-8640,l889,10333r20,74l963,10456r46,10l9409,10466r67,-23l9520,10384r9,-51l9529,278xe" fillcolor="#e1f4fd" stroked="f">
              <v:path arrowok="t"/>
            </v:shape>
            <v:shape id="_x0000_s1034" style="position:absolute;left:889;top:61;width:4020;height:360" coordorigin="889,62" coordsize="4020,360" path="m4749,62r-3700,l957,64,909,82r-17,47l889,222r,40l892,354r17,48l957,419r92,3l4749,422r93,-3l4889,402r18,-48l4909,262r,-40l4907,129,4889,82,4842,64r-93,-2xe" fillcolor="#00aeef" stroked="f">
              <v:path arrowok="t"/>
            </v:shape>
            <v:shape id="_x0000_s1033" style="position:absolute;left:1026;top:3934;width:8342;height:550" coordorigin="1026,3935" coordsize="8342,550" path="m9248,3935r-8102,l1077,3937r-36,13l1028,3985r-2,70l1026,4365r2,69l1041,4470r36,13l1146,4485r8102,l9318,4483r35,-13l9366,4434r2,-69l9368,4055r-2,-70l9353,3950r-35,-13l9248,3935xe" fillcolor="#d4effc" stroked="f">
              <v:path arrowok="t"/>
            </v:shape>
            <v:shape id="_x0000_s1032" style="position:absolute;left:1026;top:3934;width:8342;height:550" coordorigin="1026,3935" coordsize="8342,550" path="m1146,3935r-69,2l1041,3950r-13,35l1026,4055r,310l1028,4434r13,36l1077,4483r69,2l9248,4485r70,-2l9353,4470r13,-36l9368,4365r,-310l9366,3985r-13,-35l9318,3937r-70,-2l1146,3935xe" filled="f" strokecolor="#d4effc" strokeweight=".5pt">
              <v:path arrowok="t"/>
            </v:shape>
            <v:shape id="_x0000_s1031" style="position:absolute;left:1021;top:4296;width:8347;height:6031" coordorigin="1021,4297" coordsize="8347,6031" path="m9368,4297r-8342,l1026,4502r-3,8l1021,4580r,5628l1023,10277r13,36l1072,10326r69,2l9241,10328r70,-2l9346,10313r13,-36l9361,10208r,-5628l9359,4510r-2,-5l9368,4505r,-208e" stroked="f">
              <v:path arrowok="t"/>
            </v:shape>
            <v:shape id="_x0000_s1030" style="position:absolute;left:1091;top:3984;width:1260;height:232" coordorigin="1091,3985" coordsize="1260,232" path="m2271,3985r-1100,l1125,3986r-24,9l1092,4018r-1,47l1091,4136r1,46l1101,4206r24,9l1171,4216r1100,l2317,4215r24,-9l2350,4182r1,-46l2351,4065r-1,-47l2341,3995r-24,-9l2271,3985xe" fillcolor="#00aeef" stroked="f">
              <v:path arrowok="t"/>
            </v:shape>
            <v:line id="_x0000_s1029" style="position:absolute" from="1156,8943" to="1279,8943" strokecolor="#231f20" strokeweight=".1019mm"/>
            <v:shape id="_x0000_s1028" style="position:absolute;left:1026;top:3930;width:8342;height:6398" coordorigin="1026,3931" coordsize="8342,6398" path="m1146,3931r-69,2l1041,3946r-13,35l1026,4051r,6158l1028,10278r13,36l1077,10327r69,2l9248,10329r70,-2l9353,10314r13,-36l9368,10209r,-6158l9366,3981r-13,-35l9318,3933r-70,-2l1146,3931xe" filled="f" strokecolor="#00aeef" strokeweight=".5pt">
              <v:path arrowok="t"/>
            </v:shape>
            <w10:wrap anchorx="page"/>
          </v:group>
        </w:pict>
      </w:r>
      <w:r w:rsidR="001F1838">
        <w:rPr>
          <w:rFonts w:ascii="Arial"/>
          <w:b/>
          <w:strike/>
          <w:color w:val="FFFFFF"/>
          <w:w w:val="72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Can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you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Beat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the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Market?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part</w:t>
      </w:r>
      <w:r w:rsidR="001F1838">
        <w:rPr>
          <w:rFonts w:ascii="Arial"/>
          <w:b/>
          <w:strike/>
          <w:color w:val="FFFFFF"/>
          <w:spacing w:val="-44"/>
          <w:sz w:val="25"/>
        </w:rPr>
        <w:t xml:space="preserve"> </w:t>
      </w:r>
      <w:r w:rsidR="001F1838">
        <w:rPr>
          <w:rFonts w:ascii="Arial"/>
          <w:b/>
          <w:strike/>
          <w:color w:val="FFFFFF"/>
          <w:sz w:val="25"/>
        </w:rPr>
        <w:t>I</w:t>
      </w:r>
      <w:r w:rsidR="001F1838">
        <w:rPr>
          <w:rFonts w:ascii="Arial"/>
          <w:b/>
          <w:strike/>
          <w:color w:val="FFFFFF"/>
          <w:sz w:val="25"/>
        </w:rPr>
        <w:tab/>
      </w:r>
    </w:p>
    <w:p w:rsidR="00566481" w:rsidRDefault="00566481">
      <w:pPr>
        <w:pStyle w:val="a3"/>
        <w:spacing w:before="2"/>
        <w:rPr>
          <w:rFonts w:ascii="Arial"/>
          <w:b/>
          <w:sz w:val="21"/>
        </w:rPr>
      </w:pPr>
    </w:p>
    <w:p w:rsidR="00566481" w:rsidRDefault="00566481">
      <w:pPr>
        <w:rPr>
          <w:rFonts w:ascii="Arial"/>
          <w:sz w:val="21"/>
        </w:rPr>
        <w:sectPr w:rsidR="00566481">
          <w:type w:val="continuous"/>
          <w:pgSz w:w="10420" w:h="13330"/>
          <w:pgMar w:top="640" w:right="780" w:bottom="280" w:left="780" w:header="720" w:footer="720" w:gutter="0"/>
          <w:cols w:space="720"/>
        </w:sectPr>
      </w:pPr>
    </w:p>
    <w:p w:rsidR="00566481" w:rsidRDefault="00234C04">
      <w:pPr>
        <w:pStyle w:val="a3"/>
        <w:spacing w:line="324" w:lineRule="auto"/>
        <w:ind w:left="729" w:right="-1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.45pt;margin-top:1.65pt;width:19.1pt;height:33.15pt;z-index:1048;mso-position-horizontal-relative:page" filled="f" stroked="f">
            <v:textbox inset="0,0,0,0">
              <w:txbxContent>
                <w:p w:rsidR="00566481" w:rsidRDefault="001F1838">
                  <w:pPr>
                    <w:spacing w:line="663" w:lineRule="exact"/>
                    <w:rPr>
                      <w:rFonts w:ascii="Calibri"/>
                      <w:sz w:val="58"/>
                    </w:rPr>
                  </w:pPr>
                  <w:r>
                    <w:rPr>
                      <w:rFonts w:ascii="Calibri"/>
                      <w:color w:val="00AEEF"/>
                      <w:w w:val="105"/>
                      <w:sz w:val="58"/>
                    </w:rPr>
                    <w:t>H</w:t>
                  </w:r>
                </w:p>
              </w:txbxContent>
            </v:textbox>
            <w10:wrap anchorx="page"/>
          </v:shape>
        </w:pict>
      </w:r>
      <w:r w:rsidR="001F1838">
        <w:rPr>
          <w:color w:val="231F20"/>
          <w:w w:val="110"/>
        </w:rPr>
        <w:t>ave you ever dreamed of getting rich quickly by beating the stock market? If you think</w:t>
      </w:r>
      <w:r w:rsidR="001F1838">
        <w:rPr>
          <w:color w:val="231F20"/>
          <w:spacing w:val="-35"/>
          <w:w w:val="110"/>
        </w:rPr>
        <w:t xml:space="preserve"> </w:t>
      </w:r>
      <w:r w:rsidR="001F1838">
        <w:rPr>
          <w:color w:val="231F20"/>
          <w:w w:val="110"/>
        </w:rPr>
        <w:t>that</w:t>
      </w:r>
    </w:p>
    <w:p w:rsidR="00566481" w:rsidRDefault="001F1838">
      <w:pPr>
        <w:pStyle w:val="a3"/>
        <w:spacing w:before="1" w:line="324" w:lineRule="auto"/>
        <w:ind w:left="28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market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going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up,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should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buy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stocks today and sell them later, before the market turns down.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If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good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forecasting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swings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stock prices,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then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active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trading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strategy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produce better returns than a passive “buy and hold” strat- egy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which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purchase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stocks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just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hang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onto them.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trick,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course,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having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reliable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fore- cast of future stock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returns.</w:t>
      </w:r>
    </w:p>
    <w:p w:rsidR="00566481" w:rsidRDefault="001F1838">
      <w:pPr>
        <w:pStyle w:val="a3"/>
        <w:spacing w:line="326" w:lineRule="auto"/>
        <w:ind w:left="198" w:right="274" w:firstLine="239"/>
        <w:jc w:val="both"/>
      </w:pPr>
      <w:r>
        <w:br w:type="column"/>
      </w:r>
      <w:r>
        <w:rPr>
          <w:color w:val="231F20"/>
          <w:w w:val="110"/>
        </w:rPr>
        <w:lastRenderedPageBreak/>
        <w:t xml:space="preserve">Forecasts based on past values of stock returns are </w:t>
      </w:r>
      <w:r>
        <w:rPr>
          <w:color w:val="231F20"/>
          <w:spacing w:val="1"/>
          <w:w w:val="110"/>
        </w:rPr>
        <w:t xml:space="preserve">sometimes called “momentum” forecasts: </w:t>
      </w:r>
      <w:r>
        <w:rPr>
          <w:color w:val="231F20"/>
          <w:spacing w:val="2"/>
          <w:w w:val="110"/>
        </w:rPr>
        <w:t xml:space="preserve">If </w:t>
      </w:r>
      <w:r>
        <w:rPr>
          <w:color w:val="231F20"/>
          <w:w w:val="110"/>
        </w:rPr>
        <w:t>the value of a stock rose this month, perhaps it has momentum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also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rise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next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month.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If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so,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then returns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autocorrelated,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 xml:space="preserve">autoregressive </w:t>
      </w:r>
      <w:r>
        <w:rPr>
          <w:color w:val="231F20"/>
          <w:spacing w:val="-5"/>
          <w:w w:val="110"/>
        </w:rPr>
        <w:t>model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5"/>
          <w:w w:val="110"/>
        </w:rPr>
        <w:t>will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6"/>
          <w:w w:val="110"/>
        </w:rPr>
        <w:t>provide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5"/>
          <w:w w:val="110"/>
        </w:rPr>
        <w:t>useful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6"/>
          <w:w w:val="110"/>
        </w:rPr>
        <w:t>forecasts.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4"/>
          <w:w w:val="110"/>
        </w:rPr>
        <w:t>You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4"/>
          <w:w w:val="110"/>
        </w:rPr>
        <w:t>can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implement </w:t>
      </w:r>
      <w:r>
        <w:rPr>
          <w:color w:val="231F20"/>
          <w:w w:val="110"/>
        </w:rPr>
        <w:t>a momentum-based strategy for a specific stock or for a stock index that measures the overall value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of the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market.</w:t>
      </w:r>
    </w:p>
    <w:p w:rsidR="00566481" w:rsidRDefault="00566481">
      <w:pPr>
        <w:spacing w:line="326" w:lineRule="auto"/>
        <w:jc w:val="both"/>
        <w:sectPr w:rsidR="00566481">
          <w:type w:val="continuous"/>
          <w:pgSz w:w="10420" w:h="13330"/>
          <w:pgMar w:top="640" w:right="780" w:bottom="280" w:left="780" w:header="720" w:footer="720" w:gutter="0"/>
          <w:cols w:num="2" w:space="720" w:equalWidth="0">
            <w:col w:w="4311" w:space="40"/>
            <w:col w:w="4509"/>
          </w:cols>
        </w:sectPr>
      </w:pPr>
    </w:p>
    <w:p w:rsidR="00566481" w:rsidRDefault="00566481">
      <w:pPr>
        <w:pStyle w:val="a3"/>
        <w:spacing w:before="0"/>
        <w:rPr>
          <w:sz w:val="20"/>
        </w:rPr>
      </w:pPr>
    </w:p>
    <w:p w:rsidR="00566481" w:rsidRDefault="00566481">
      <w:pPr>
        <w:pStyle w:val="a3"/>
        <w:spacing w:before="8"/>
        <w:rPr>
          <w:sz w:val="21"/>
        </w:rPr>
      </w:pPr>
    </w:p>
    <w:p w:rsidR="00566481" w:rsidRDefault="001F1838">
      <w:pPr>
        <w:tabs>
          <w:tab w:val="left" w:pos="1631"/>
        </w:tabs>
        <w:ind w:left="475"/>
        <w:rPr>
          <w:rFonts w:ascii="Trebuchet MS" w:hAnsi="Trebuchet MS"/>
          <w:b/>
          <w:sz w:val="19"/>
        </w:rPr>
      </w:pPr>
      <w:r>
        <w:rPr>
          <w:rFonts w:ascii="Arial" w:hAnsi="Arial"/>
          <w:b/>
          <w:color w:val="FFFFFF"/>
          <w:position w:val="1"/>
          <w:sz w:val="18"/>
        </w:rPr>
        <w:t>TABLE</w:t>
      </w:r>
      <w:r>
        <w:rPr>
          <w:rFonts w:ascii="Arial" w:hAnsi="Arial"/>
          <w:b/>
          <w:color w:val="FFFFFF"/>
          <w:spacing w:val="-7"/>
          <w:position w:val="1"/>
          <w:sz w:val="18"/>
        </w:rPr>
        <w:t xml:space="preserve"> </w:t>
      </w:r>
      <w:r>
        <w:rPr>
          <w:rFonts w:ascii="Arial" w:hAnsi="Arial"/>
          <w:b/>
          <w:color w:val="FFFFFF"/>
          <w:position w:val="1"/>
          <w:sz w:val="18"/>
        </w:rPr>
        <w:t>14.2</w:t>
      </w:r>
      <w:r>
        <w:rPr>
          <w:rFonts w:ascii="Arial" w:hAnsi="Arial"/>
          <w:b/>
          <w:color w:val="FFFFFF"/>
          <w:position w:val="1"/>
          <w:sz w:val="18"/>
        </w:rPr>
        <w:tab/>
      </w:r>
      <w:r>
        <w:rPr>
          <w:rFonts w:ascii="Trebuchet MS" w:hAnsi="Trebuchet MS"/>
          <w:b/>
          <w:color w:val="00AEEF"/>
          <w:sz w:val="19"/>
        </w:rPr>
        <w:t>Autoregressive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Models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of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Monthly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Excess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Stock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Returns,</w:t>
      </w:r>
      <w:r>
        <w:rPr>
          <w:rFonts w:ascii="Trebuchet MS" w:hAnsi="Trebuchet MS"/>
          <w:b/>
          <w:color w:val="00AEEF"/>
          <w:spacing w:val="-29"/>
          <w:sz w:val="19"/>
        </w:rPr>
        <w:t xml:space="preserve"> </w:t>
      </w:r>
      <w:r>
        <w:rPr>
          <w:rFonts w:ascii="Trebuchet MS" w:hAnsi="Trebuchet MS"/>
          <w:b/>
          <w:color w:val="00AEEF"/>
          <w:sz w:val="19"/>
        </w:rPr>
        <w:t>1960:M1–2002:M12</w:t>
      </w:r>
    </w:p>
    <w:p w:rsidR="00566481" w:rsidRDefault="00566481">
      <w:pPr>
        <w:pStyle w:val="a3"/>
        <w:spacing w:before="7"/>
        <w:rPr>
          <w:rFonts w:ascii="Trebuchet MS"/>
          <w:b/>
          <w:sz w:val="19"/>
        </w:rPr>
      </w:pPr>
    </w:p>
    <w:p w:rsidR="00566481" w:rsidRDefault="001F1838">
      <w:pPr>
        <w:ind w:left="380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Dependent variable: excess returns on the CrSp value-weighted index</w:t>
      </w:r>
    </w:p>
    <w:p w:rsidR="00566481" w:rsidRDefault="00566481">
      <w:pPr>
        <w:pStyle w:val="a3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1" w:type="dxa"/>
        <w:tblLayout w:type="fixed"/>
        <w:tblLook w:val="01E0" w:firstRow="1" w:lastRow="1" w:firstColumn="1" w:lastColumn="1" w:noHBand="0" w:noVBand="0"/>
      </w:tblPr>
      <w:tblGrid>
        <w:gridCol w:w="2799"/>
        <w:gridCol w:w="1779"/>
        <w:gridCol w:w="2002"/>
        <w:gridCol w:w="1750"/>
      </w:tblGrid>
      <w:tr w:rsidR="00566481">
        <w:trPr>
          <w:trHeight w:val="246"/>
        </w:trPr>
        <w:tc>
          <w:tcPr>
            <w:tcW w:w="2799" w:type="dxa"/>
            <w:tcBorders>
              <w:bottom w:val="single" w:sz="6" w:space="0" w:color="231F2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231F20"/>
            </w:tcBorders>
          </w:tcPr>
          <w:p w:rsidR="00566481" w:rsidRDefault="001F1838">
            <w:pPr>
              <w:pStyle w:val="TableParagraph"/>
              <w:spacing w:line="177" w:lineRule="exact"/>
              <w:ind w:left="662" w:right="8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AEEF"/>
                <w:sz w:val="16"/>
              </w:rPr>
              <w:t>(1)</w:t>
            </w:r>
          </w:p>
        </w:tc>
        <w:tc>
          <w:tcPr>
            <w:tcW w:w="2002" w:type="dxa"/>
            <w:tcBorders>
              <w:bottom w:val="single" w:sz="6" w:space="0" w:color="231F20"/>
            </w:tcBorders>
          </w:tcPr>
          <w:p w:rsidR="00566481" w:rsidRDefault="001F1838">
            <w:pPr>
              <w:pStyle w:val="TableParagraph"/>
              <w:spacing w:line="177" w:lineRule="exact"/>
              <w:ind w:left="628" w:right="6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AEEF"/>
                <w:sz w:val="16"/>
              </w:rPr>
              <w:t>(2)</w:t>
            </w:r>
          </w:p>
        </w:tc>
        <w:tc>
          <w:tcPr>
            <w:tcW w:w="1750" w:type="dxa"/>
            <w:tcBorders>
              <w:bottom w:val="single" w:sz="6" w:space="0" w:color="231F20"/>
            </w:tcBorders>
          </w:tcPr>
          <w:p w:rsidR="00566481" w:rsidRDefault="001F1838">
            <w:pPr>
              <w:pStyle w:val="TableParagraph"/>
              <w:spacing w:line="177" w:lineRule="exact"/>
              <w:ind w:left="585" w:right="5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AEEF"/>
                <w:sz w:val="16"/>
              </w:rPr>
              <w:t>(3)</w:t>
            </w:r>
          </w:p>
        </w:tc>
      </w:tr>
      <w:tr w:rsidR="00566481">
        <w:trPr>
          <w:trHeight w:val="326"/>
        </w:trPr>
        <w:tc>
          <w:tcPr>
            <w:tcW w:w="2799" w:type="dxa"/>
            <w:tcBorders>
              <w:top w:val="single" w:sz="6" w:space="0" w:color="231F2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119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Specification</w:t>
            </w:r>
          </w:p>
        </w:tc>
        <w:tc>
          <w:tcPr>
            <w:tcW w:w="1779" w:type="dxa"/>
            <w:tcBorders>
              <w:top w:val="single" w:sz="6" w:space="0" w:color="231F2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532"/>
              <w:rPr>
                <w:sz w:val="17"/>
              </w:rPr>
            </w:pPr>
            <w:r>
              <w:rPr>
                <w:color w:val="231F20"/>
                <w:w w:val="115"/>
                <w:sz w:val="17"/>
              </w:rPr>
              <w:t>AR(1)</w:t>
            </w:r>
          </w:p>
        </w:tc>
        <w:tc>
          <w:tcPr>
            <w:tcW w:w="2002" w:type="dxa"/>
            <w:tcBorders>
              <w:top w:val="single" w:sz="6" w:space="0" w:color="231F2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627" w:right="655"/>
              <w:jc w:val="center"/>
              <w:rPr>
                <w:sz w:val="17"/>
              </w:rPr>
            </w:pPr>
            <w:r>
              <w:rPr>
                <w:color w:val="231F20"/>
                <w:w w:val="115"/>
                <w:sz w:val="17"/>
              </w:rPr>
              <w:t>AR(2)</w:t>
            </w:r>
          </w:p>
        </w:tc>
        <w:tc>
          <w:tcPr>
            <w:tcW w:w="1750" w:type="dxa"/>
            <w:tcBorders>
              <w:top w:val="single" w:sz="6" w:space="0" w:color="231F2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664"/>
              <w:rPr>
                <w:sz w:val="17"/>
              </w:rPr>
            </w:pPr>
            <w:r>
              <w:rPr>
                <w:color w:val="231F20"/>
                <w:w w:val="115"/>
                <w:sz w:val="17"/>
              </w:rPr>
              <w:t>AR(4)</w:t>
            </w:r>
          </w:p>
        </w:tc>
      </w:tr>
      <w:tr w:rsidR="00566481">
        <w:trPr>
          <w:trHeight w:val="326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119"/>
              <w:rPr>
                <w:sz w:val="17"/>
              </w:rPr>
            </w:pPr>
            <w:r>
              <w:rPr>
                <w:color w:val="231F20"/>
                <w:w w:val="110"/>
                <w:sz w:val="17"/>
              </w:rPr>
              <w:t>Regressors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</w:tr>
      <w:tr w:rsidR="00566481">
        <w:trPr>
          <w:trHeight w:val="506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37"/>
              <w:ind w:left="121"/>
              <w:rPr>
                <w:sz w:val="17"/>
              </w:rPr>
            </w:pPr>
            <w:r>
              <w:rPr>
                <w:i/>
                <w:color w:val="231F20"/>
                <w:sz w:val="17"/>
              </w:rPr>
              <w:t>excess return</w:t>
            </w:r>
            <w:r w:rsidRPr="001F1838">
              <w:rPr>
                <w:i/>
                <w:color w:val="231F20"/>
                <w:sz w:val="17"/>
                <w:vertAlign w:val="subscript"/>
              </w:rPr>
              <w:t xml:space="preserve">t </w:t>
            </w:r>
            <w:r w:rsidRPr="001F1838">
              <w:rPr>
                <w:rFonts w:ascii="Lucida Sans Unicode"/>
                <w:color w:val="231F20"/>
                <w:sz w:val="17"/>
                <w:vertAlign w:val="subscript"/>
              </w:rPr>
              <w:t xml:space="preserve">- </w:t>
            </w:r>
            <w:r w:rsidRPr="001F1838">
              <w:rPr>
                <w:color w:val="231F20"/>
                <w:sz w:val="17"/>
                <w:vertAlign w:val="subscript"/>
              </w:rPr>
              <w:t>1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573"/>
              <w:rPr>
                <w:sz w:val="17"/>
              </w:rPr>
            </w:pPr>
            <w:r>
              <w:rPr>
                <w:color w:val="231F20"/>
                <w:sz w:val="17"/>
              </w:rPr>
              <w:t>0.050</w:t>
            </w:r>
          </w:p>
          <w:p w:rsidR="00566481" w:rsidRDefault="001F1838">
            <w:pPr>
              <w:pStyle w:val="TableParagraph"/>
              <w:spacing w:line="188" w:lineRule="exact"/>
              <w:ind w:left="507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(0.051)</w:t>
            </w: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717" w:right="58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0.053</w:t>
            </w:r>
          </w:p>
          <w:p w:rsidR="00566481" w:rsidRDefault="001F1838">
            <w:pPr>
              <w:pStyle w:val="TableParagraph"/>
              <w:spacing w:line="188" w:lineRule="exact"/>
              <w:ind w:left="717" w:right="587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(0.051)</w:t>
            </w: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0.054</w:t>
            </w:r>
          </w:p>
          <w:p w:rsidR="00566481" w:rsidRDefault="001F1838">
            <w:pPr>
              <w:pStyle w:val="TableParagraph"/>
              <w:spacing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(0.051)</w:t>
            </w:r>
          </w:p>
        </w:tc>
      </w:tr>
      <w:tr w:rsidR="00566481">
        <w:trPr>
          <w:trHeight w:val="506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37"/>
              <w:ind w:left="121"/>
              <w:rPr>
                <w:sz w:val="17"/>
              </w:rPr>
            </w:pPr>
            <w:r>
              <w:rPr>
                <w:i/>
                <w:color w:val="231F20"/>
                <w:sz w:val="17"/>
              </w:rPr>
              <w:t>excess return</w:t>
            </w:r>
            <w:r>
              <w:rPr>
                <w:i/>
                <w:color w:val="231F20"/>
                <w:sz w:val="17"/>
                <w:vertAlign w:val="subscript"/>
              </w:rPr>
              <w:t>t</w:t>
            </w:r>
            <w:r>
              <w:rPr>
                <w:i/>
                <w:color w:val="231F20"/>
                <w:sz w:val="17"/>
              </w:rPr>
              <w:t xml:space="preserve"> </w:t>
            </w:r>
            <w:r>
              <w:rPr>
                <w:rFonts w:ascii="Lucida Sans Unicode"/>
                <w:color w:val="231F20"/>
                <w:sz w:val="17"/>
                <w:vertAlign w:val="subscript"/>
              </w:rPr>
              <w:t>-</w:t>
            </w:r>
            <w:r>
              <w:rPr>
                <w:rFonts w:ascii="Lucida Sans Unicode"/>
                <w:color w:val="231F20"/>
                <w:sz w:val="17"/>
              </w:rPr>
              <w:t xml:space="preserve"> </w:t>
            </w:r>
            <w:r>
              <w:rPr>
                <w:color w:val="231F20"/>
                <w:sz w:val="17"/>
                <w:vertAlign w:val="subscript"/>
              </w:rPr>
              <w:t>2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700" w:right="65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–0.053</w:t>
            </w:r>
          </w:p>
          <w:p w:rsidR="00566481" w:rsidRDefault="001F1838">
            <w:pPr>
              <w:pStyle w:val="TableParagraph"/>
              <w:spacing w:line="188" w:lineRule="exact"/>
              <w:ind w:left="717" w:right="587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(0.048)</w:t>
            </w: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590" w:right="51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–0.054</w:t>
            </w:r>
          </w:p>
          <w:p w:rsidR="00566481" w:rsidRDefault="001F1838">
            <w:pPr>
              <w:pStyle w:val="TableParagraph"/>
              <w:spacing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(0.048)</w:t>
            </w:r>
          </w:p>
        </w:tc>
      </w:tr>
      <w:tr w:rsidR="00566481">
        <w:trPr>
          <w:trHeight w:val="506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37"/>
              <w:ind w:left="121"/>
              <w:rPr>
                <w:sz w:val="17"/>
              </w:rPr>
            </w:pPr>
            <w:r>
              <w:rPr>
                <w:i/>
                <w:color w:val="231F20"/>
                <w:sz w:val="17"/>
              </w:rPr>
              <w:t>excess return</w:t>
            </w:r>
            <w:r>
              <w:rPr>
                <w:i/>
                <w:color w:val="231F20"/>
                <w:sz w:val="17"/>
                <w:vertAlign w:val="subscript"/>
              </w:rPr>
              <w:t>t</w:t>
            </w:r>
            <w:r>
              <w:rPr>
                <w:i/>
                <w:color w:val="231F20"/>
                <w:sz w:val="17"/>
              </w:rPr>
              <w:t xml:space="preserve"> </w:t>
            </w:r>
            <w:r>
              <w:rPr>
                <w:rFonts w:ascii="Lucida Sans Unicode"/>
                <w:color w:val="231F20"/>
                <w:sz w:val="17"/>
                <w:vertAlign w:val="subscript"/>
              </w:rPr>
              <w:t>-</w:t>
            </w:r>
            <w:r>
              <w:rPr>
                <w:rFonts w:ascii="Lucida Sans Unicode"/>
                <w:color w:val="231F20"/>
                <w:sz w:val="17"/>
              </w:rPr>
              <w:t xml:space="preserve"> </w:t>
            </w:r>
            <w:r>
              <w:rPr>
                <w:color w:val="231F20"/>
                <w:sz w:val="17"/>
                <w:vertAlign w:val="subscript"/>
              </w:rPr>
              <w:t>3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0.009</w:t>
            </w:r>
          </w:p>
          <w:p w:rsidR="00566481" w:rsidRDefault="001F1838">
            <w:pPr>
              <w:pStyle w:val="TableParagraph"/>
              <w:spacing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(0.050)</w:t>
            </w:r>
          </w:p>
        </w:tc>
      </w:tr>
      <w:tr w:rsidR="00566481">
        <w:trPr>
          <w:trHeight w:val="506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37"/>
              <w:ind w:left="121"/>
              <w:rPr>
                <w:sz w:val="17"/>
              </w:rPr>
            </w:pPr>
            <w:r>
              <w:rPr>
                <w:i/>
                <w:color w:val="231F20"/>
                <w:sz w:val="17"/>
              </w:rPr>
              <w:t>excess return</w:t>
            </w:r>
            <w:r>
              <w:rPr>
                <w:i/>
                <w:color w:val="231F20"/>
                <w:sz w:val="17"/>
                <w:vertAlign w:val="subscript"/>
              </w:rPr>
              <w:t>t</w:t>
            </w:r>
            <w:r>
              <w:rPr>
                <w:i/>
                <w:color w:val="231F20"/>
                <w:sz w:val="17"/>
              </w:rPr>
              <w:t xml:space="preserve"> </w:t>
            </w:r>
            <w:r>
              <w:rPr>
                <w:rFonts w:ascii="Lucida Sans Unicode"/>
                <w:color w:val="231F20"/>
                <w:sz w:val="17"/>
                <w:vertAlign w:val="subscript"/>
              </w:rPr>
              <w:t>-</w:t>
            </w:r>
            <w:r>
              <w:rPr>
                <w:rFonts w:ascii="Lucida Sans Unicode"/>
                <w:color w:val="231F20"/>
                <w:sz w:val="17"/>
              </w:rPr>
              <w:t xml:space="preserve"> </w:t>
            </w:r>
            <w:r>
              <w:rPr>
                <w:color w:val="231F20"/>
                <w:sz w:val="17"/>
                <w:vertAlign w:val="subscript"/>
              </w:rPr>
              <w:t>4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88" w:lineRule="exact"/>
              <w:ind w:left="573" w:right="51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−0.016</w:t>
            </w:r>
          </w:p>
          <w:p w:rsidR="00566481" w:rsidRDefault="001F1838">
            <w:pPr>
              <w:pStyle w:val="TableParagraph"/>
              <w:spacing w:line="188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(0.047)</w:t>
            </w:r>
          </w:p>
        </w:tc>
      </w:tr>
      <w:tr w:rsidR="00566481">
        <w:trPr>
          <w:trHeight w:val="255"/>
        </w:trPr>
        <w:tc>
          <w:tcPr>
            <w:tcW w:w="2799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120"/>
              <w:rPr>
                <w:sz w:val="17"/>
              </w:rPr>
            </w:pPr>
            <w:r>
              <w:rPr>
                <w:color w:val="231F20"/>
                <w:w w:val="115"/>
                <w:sz w:val="17"/>
              </w:rPr>
              <w:t>Intercept</w:t>
            </w:r>
          </w:p>
        </w:tc>
        <w:tc>
          <w:tcPr>
            <w:tcW w:w="1779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573"/>
              <w:rPr>
                <w:sz w:val="17"/>
              </w:rPr>
            </w:pPr>
            <w:r>
              <w:rPr>
                <w:color w:val="231F20"/>
                <w:sz w:val="17"/>
              </w:rPr>
              <w:t>0.312</w:t>
            </w:r>
          </w:p>
        </w:tc>
        <w:tc>
          <w:tcPr>
            <w:tcW w:w="2002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717" w:right="58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0.328</w:t>
            </w:r>
          </w:p>
        </w:tc>
        <w:tc>
          <w:tcPr>
            <w:tcW w:w="1750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645" w:right="483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0.331</w:t>
            </w:r>
          </w:p>
        </w:tc>
      </w:tr>
      <w:tr w:rsidR="00566481">
        <w:trPr>
          <w:trHeight w:val="250"/>
        </w:trPr>
        <w:tc>
          <w:tcPr>
            <w:tcW w:w="2799" w:type="dxa"/>
            <w:tcBorders>
              <w:bottom w:val="single" w:sz="6" w:space="0" w:color="BCBEC0"/>
            </w:tcBorders>
          </w:tcPr>
          <w:p w:rsidR="00566481" w:rsidRDefault="00566481">
            <w:pPr>
              <w:pStyle w:val="TableParagraph"/>
              <w:rPr>
                <w:sz w:val="16"/>
              </w:rPr>
            </w:pPr>
          </w:p>
        </w:tc>
        <w:tc>
          <w:tcPr>
            <w:tcW w:w="1779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left="507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(0.197)</w:t>
            </w:r>
          </w:p>
        </w:tc>
        <w:tc>
          <w:tcPr>
            <w:tcW w:w="2002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right="67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(0.199)</w:t>
            </w:r>
          </w:p>
        </w:tc>
        <w:tc>
          <w:tcPr>
            <w:tcW w:w="1750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left="698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(0.202)</w:t>
            </w:r>
          </w:p>
        </w:tc>
      </w:tr>
      <w:tr w:rsidR="00566481">
        <w:trPr>
          <w:trHeight w:val="255"/>
        </w:trPr>
        <w:tc>
          <w:tcPr>
            <w:tcW w:w="2799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119"/>
              <w:rPr>
                <w:sz w:val="17"/>
              </w:rPr>
            </w:pPr>
            <w:r>
              <w:rPr>
                <w:i/>
                <w:color w:val="231F20"/>
                <w:w w:val="105"/>
                <w:sz w:val="17"/>
              </w:rPr>
              <w:t>F-</w:t>
            </w:r>
            <w:r>
              <w:rPr>
                <w:color w:val="231F20"/>
                <w:w w:val="105"/>
                <w:sz w:val="17"/>
              </w:rPr>
              <w:t>statistic for coefficients on-</w:t>
            </w:r>
          </w:p>
        </w:tc>
        <w:tc>
          <w:tcPr>
            <w:tcW w:w="1779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573"/>
              <w:rPr>
                <w:sz w:val="17"/>
              </w:rPr>
            </w:pPr>
            <w:r>
              <w:rPr>
                <w:color w:val="231F20"/>
                <w:sz w:val="17"/>
              </w:rPr>
              <w:t>0.968</w:t>
            </w:r>
          </w:p>
        </w:tc>
        <w:tc>
          <w:tcPr>
            <w:tcW w:w="2002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717" w:right="588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1.342</w:t>
            </w:r>
          </w:p>
        </w:tc>
        <w:tc>
          <w:tcPr>
            <w:tcW w:w="1750" w:type="dxa"/>
            <w:tcBorders>
              <w:top w:val="single" w:sz="6" w:space="0" w:color="BCBEC0"/>
            </w:tcBorders>
          </w:tcPr>
          <w:p w:rsidR="00566481" w:rsidRDefault="001F1838">
            <w:pPr>
              <w:pStyle w:val="TableParagraph"/>
              <w:spacing w:before="65" w:line="170" w:lineRule="exact"/>
              <w:ind w:left="645" w:right="484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0.707</w:t>
            </w:r>
          </w:p>
        </w:tc>
      </w:tr>
      <w:tr w:rsidR="00566481">
        <w:trPr>
          <w:trHeight w:val="250"/>
        </w:trPr>
        <w:tc>
          <w:tcPr>
            <w:tcW w:w="2799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left="119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 xml:space="preserve">lags of </w:t>
            </w:r>
            <w:r>
              <w:rPr>
                <w:i/>
                <w:color w:val="231F20"/>
                <w:w w:val="105"/>
                <w:sz w:val="17"/>
              </w:rPr>
              <w:t xml:space="preserve">excess return </w:t>
            </w:r>
            <w:r>
              <w:rPr>
                <w:color w:val="231F20"/>
                <w:w w:val="105"/>
                <w:sz w:val="17"/>
              </w:rPr>
              <w:t>(</w:t>
            </w:r>
            <w:r>
              <w:rPr>
                <w:i/>
                <w:color w:val="231F20"/>
                <w:w w:val="105"/>
                <w:sz w:val="17"/>
              </w:rPr>
              <w:t>p</w:t>
            </w:r>
            <w:r>
              <w:rPr>
                <w:color w:val="231F20"/>
                <w:w w:val="105"/>
                <w:sz w:val="17"/>
              </w:rPr>
              <w:t>-value)</w:t>
            </w:r>
          </w:p>
        </w:tc>
        <w:tc>
          <w:tcPr>
            <w:tcW w:w="1779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left="507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(0.325)</w:t>
            </w:r>
          </w:p>
        </w:tc>
        <w:tc>
          <w:tcPr>
            <w:tcW w:w="2002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right="676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(0.261)</w:t>
            </w:r>
          </w:p>
        </w:tc>
        <w:tc>
          <w:tcPr>
            <w:tcW w:w="1750" w:type="dxa"/>
            <w:tcBorders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line="185" w:lineRule="exact"/>
              <w:ind w:left="698"/>
              <w:rPr>
                <w:sz w:val="17"/>
              </w:rPr>
            </w:pPr>
            <w:r>
              <w:rPr>
                <w:color w:val="231F20"/>
                <w:w w:val="105"/>
                <w:sz w:val="17"/>
              </w:rPr>
              <w:t>(0.587)</w:t>
            </w:r>
          </w:p>
        </w:tc>
      </w:tr>
      <w:tr w:rsidR="00566481">
        <w:trPr>
          <w:trHeight w:val="351"/>
        </w:trPr>
        <w:tc>
          <w:tcPr>
            <w:tcW w:w="279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92"/>
              <w:ind w:left="121"/>
              <w:rPr>
                <w:sz w:val="12"/>
              </w:rPr>
            </w:pPr>
            <w:r>
              <w:rPr>
                <w:i/>
                <w:color w:val="231F20"/>
                <w:w w:val="110"/>
                <w:position w:val="-3"/>
                <w:sz w:val="17"/>
              </w:rPr>
              <w:t xml:space="preserve">R </w:t>
            </w:r>
            <w:r>
              <w:rPr>
                <w:color w:val="231F20"/>
                <w:w w:val="110"/>
                <w:sz w:val="12"/>
              </w:rPr>
              <w:t>2</w:t>
            </w:r>
          </w:p>
        </w:tc>
        <w:tc>
          <w:tcPr>
            <w:tcW w:w="1779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573"/>
              <w:rPr>
                <w:sz w:val="17"/>
              </w:rPr>
            </w:pPr>
            <w:r>
              <w:rPr>
                <w:color w:val="231F20"/>
                <w:sz w:val="17"/>
              </w:rPr>
              <w:t>0.0006</w:t>
            </w:r>
          </w:p>
        </w:tc>
        <w:tc>
          <w:tcPr>
            <w:tcW w:w="2002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right="657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0.0014</w:t>
            </w:r>
          </w:p>
        </w:tc>
        <w:tc>
          <w:tcPr>
            <w:tcW w:w="1750" w:type="dxa"/>
            <w:tcBorders>
              <w:top w:val="single" w:sz="6" w:space="0" w:color="BCBEC0"/>
              <w:bottom w:val="single" w:sz="6" w:space="0" w:color="BCBEC0"/>
            </w:tcBorders>
          </w:tcPr>
          <w:p w:rsidR="00566481" w:rsidRDefault="001F1838">
            <w:pPr>
              <w:pStyle w:val="TableParagraph"/>
              <w:spacing w:before="65"/>
              <w:ind w:left="679"/>
              <w:rPr>
                <w:sz w:val="17"/>
              </w:rPr>
            </w:pPr>
            <w:r>
              <w:rPr>
                <w:color w:val="231F20"/>
                <w:sz w:val="17"/>
              </w:rPr>
              <w:t>–0.0022</w:t>
            </w:r>
          </w:p>
        </w:tc>
      </w:tr>
    </w:tbl>
    <w:p w:rsidR="00566481" w:rsidRDefault="001F1838">
      <w:pPr>
        <w:spacing w:before="71" w:line="261" w:lineRule="auto"/>
        <w:ind w:left="361" w:right="255"/>
        <w:rPr>
          <w:sz w:val="15"/>
        </w:rPr>
      </w:pPr>
      <w:r>
        <w:rPr>
          <w:i/>
          <w:color w:val="231F20"/>
          <w:w w:val="110"/>
          <w:sz w:val="15"/>
        </w:rPr>
        <w:t>Note:</w:t>
      </w:r>
      <w:r>
        <w:rPr>
          <w:i/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Excess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returns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are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measured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percentage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points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per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month.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data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are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described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Appendix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14.1.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All</w:t>
      </w:r>
      <w:r>
        <w:rPr>
          <w:color w:val="231F20"/>
          <w:spacing w:val="-8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regressions are estimated over 1960:M1–2002:M12 (</w:t>
      </w:r>
      <w:r>
        <w:rPr>
          <w:i/>
          <w:color w:val="231F20"/>
          <w:w w:val="110"/>
          <w:sz w:val="15"/>
        </w:rPr>
        <w:t xml:space="preserve">T </w:t>
      </w:r>
      <w:r>
        <w:rPr>
          <w:rFonts w:ascii="Lucida Sans" w:hAnsi="Lucida Sans"/>
          <w:color w:val="231F20"/>
          <w:w w:val="110"/>
          <w:sz w:val="15"/>
        </w:rPr>
        <w:t xml:space="preserve">= </w:t>
      </w:r>
      <w:r>
        <w:rPr>
          <w:color w:val="231F20"/>
          <w:w w:val="110"/>
          <w:sz w:val="15"/>
        </w:rPr>
        <w:t>516 observations), with earlier observations used for initial values of lagged variables.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Entries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regressor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rows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are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coefficients,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standard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errors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parentheses.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final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two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rows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report</w:t>
      </w:r>
      <w:r>
        <w:rPr>
          <w:color w:val="231F20"/>
          <w:spacing w:val="-6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</w:p>
    <w:p w:rsidR="007B3629" w:rsidRDefault="001F1838" w:rsidP="00764D63">
      <w:pPr>
        <w:spacing w:before="1" w:line="259" w:lineRule="auto"/>
        <w:ind w:left="361"/>
        <w:rPr>
          <w:color w:val="231F20"/>
          <w:w w:val="110"/>
          <w:sz w:val="15"/>
        </w:rPr>
      </w:pPr>
      <w:r>
        <w:rPr>
          <w:i/>
          <w:color w:val="231F20"/>
          <w:w w:val="110"/>
          <w:sz w:val="15"/>
        </w:rPr>
        <w:t>F</w:t>
      </w:r>
      <w:r>
        <w:rPr>
          <w:color w:val="231F20"/>
          <w:w w:val="110"/>
          <w:sz w:val="15"/>
        </w:rPr>
        <w:t>-statistic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testing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hypothesis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coefficients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on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lags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i/>
          <w:color w:val="231F20"/>
          <w:w w:val="110"/>
          <w:sz w:val="15"/>
        </w:rPr>
        <w:t>excess</w:t>
      </w:r>
      <w:r>
        <w:rPr>
          <w:i/>
          <w:color w:val="231F20"/>
          <w:spacing w:val="-12"/>
          <w:w w:val="110"/>
          <w:sz w:val="15"/>
        </w:rPr>
        <w:t xml:space="preserve"> </w:t>
      </w:r>
      <w:r>
        <w:rPr>
          <w:i/>
          <w:color w:val="231F20"/>
          <w:w w:val="110"/>
          <w:sz w:val="15"/>
        </w:rPr>
        <w:t>return</w:t>
      </w:r>
      <w:r>
        <w:rPr>
          <w:i/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regression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are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zero,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its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i/>
          <w:color w:val="231F20"/>
          <w:w w:val="110"/>
          <w:sz w:val="15"/>
        </w:rPr>
        <w:t>p</w:t>
      </w:r>
      <w:r>
        <w:rPr>
          <w:color w:val="231F20"/>
          <w:w w:val="110"/>
          <w:sz w:val="15"/>
        </w:rPr>
        <w:t>-value</w:t>
      </w:r>
      <w:r>
        <w:rPr>
          <w:color w:val="231F20"/>
          <w:spacing w:val="-12"/>
          <w:w w:val="110"/>
          <w:sz w:val="15"/>
        </w:rPr>
        <w:t xml:space="preserve"> </w:t>
      </w:r>
      <w:r>
        <w:rPr>
          <w:color w:val="231F20"/>
          <w:w w:val="110"/>
          <w:sz w:val="15"/>
        </w:rPr>
        <w:t>in parentheses, and the adjusted</w:t>
      </w:r>
      <w:r>
        <w:rPr>
          <w:color w:val="231F20"/>
          <w:spacing w:val="-15"/>
          <w:w w:val="110"/>
          <w:sz w:val="15"/>
        </w:rPr>
        <w:t xml:space="preserve"> </w:t>
      </w:r>
      <w:r>
        <w:rPr>
          <w:i/>
          <w:color w:val="231F20"/>
          <w:w w:val="110"/>
          <w:sz w:val="15"/>
        </w:rPr>
        <w:t>R</w:t>
      </w:r>
      <w:r>
        <w:rPr>
          <w:color w:val="231F20"/>
          <w:w w:val="110"/>
          <w:position w:val="5"/>
          <w:sz w:val="10"/>
        </w:rPr>
        <w:t>2</w:t>
      </w:r>
      <w:r>
        <w:rPr>
          <w:color w:val="231F20"/>
          <w:w w:val="110"/>
          <w:sz w:val="15"/>
        </w:rPr>
        <w:t>.</w:t>
      </w:r>
      <w:bookmarkStart w:id="0" w:name="_MON_1604775015"/>
      <w:bookmarkEnd w:id="0"/>
      <w:r w:rsidR="00764D63">
        <w:rPr>
          <w:color w:val="231F20"/>
          <w:w w:val="110"/>
          <w:sz w:val="15"/>
        </w:rPr>
        <w:object w:dxaOrig="830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5.6pt" o:ole="">
            <v:imagedata r:id="rId6" o:title=""/>
          </v:shape>
          <o:OLEObject Type="Embed" ProgID="Word.Document.12" ShapeID="_x0000_i1025" DrawAspect="Content" ObjectID="_1604777238" r:id="rId7">
            <o:FieldCodes>\s</o:FieldCodes>
          </o:OLEObject>
        </w:object>
      </w:r>
      <w:bookmarkStart w:id="1" w:name="_MON_1604775138"/>
      <w:bookmarkEnd w:id="1"/>
      <w:r w:rsidR="00764D63">
        <w:rPr>
          <w:color w:val="231F20"/>
          <w:w w:val="110"/>
          <w:sz w:val="15"/>
        </w:rPr>
        <w:object w:dxaOrig="8860" w:dyaOrig="12012">
          <v:shape id="_x0000_i1031" type="#_x0000_t75" style="width:442.75pt;height:600.7pt" o:ole="">
            <v:imagedata r:id="rId8" o:title=""/>
          </v:shape>
          <o:OLEObject Type="Embed" ProgID="Word.Document.12" ShapeID="_x0000_i1031" DrawAspect="Content" ObjectID="_1604777239" r:id="rId9">
            <o:FieldCodes>\s</o:FieldCodes>
          </o:OLEObject>
        </w:object>
      </w:r>
      <w:bookmarkStart w:id="2" w:name="_MON_1604775286"/>
      <w:bookmarkEnd w:id="2"/>
      <w:r w:rsidR="00132401">
        <w:rPr>
          <w:color w:val="231F20"/>
          <w:w w:val="110"/>
          <w:sz w:val="15"/>
        </w:rPr>
        <w:object w:dxaOrig="8751" w:dyaOrig="11595">
          <v:shape id="_x0000_i1034" type="#_x0000_t75" style="width:437.35pt;height:579.75pt" o:ole="">
            <v:imagedata r:id="rId10" o:title=""/>
          </v:shape>
          <o:OLEObject Type="Embed" ProgID="Word.Document.12" ShapeID="_x0000_i1034" DrawAspect="Content" ObjectID="_1604777240" r:id="rId11">
            <o:FieldCodes>\s</o:FieldCodes>
          </o:OLEObject>
        </w:object>
      </w:r>
    </w:p>
    <w:p w:rsidR="009A75FF" w:rsidRDefault="009A75FF" w:rsidP="00764D63">
      <w:pPr>
        <w:spacing w:before="1" w:line="259" w:lineRule="auto"/>
        <w:ind w:left="361"/>
        <w:rPr>
          <w:sz w:val="15"/>
        </w:rPr>
      </w:pPr>
    </w:p>
    <w:p w:rsidR="009A75FF" w:rsidRDefault="009A75FF" w:rsidP="00764D63">
      <w:pPr>
        <w:spacing w:before="1" w:line="259" w:lineRule="auto"/>
        <w:ind w:left="361"/>
        <w:rPr>
          <w:sz w:val="15"/>
        </w:rPr>
      </w:pPr>
    </w:p>
    <w:p w:rsidR="009A75FF" w:rsidRDefault="009A75FF" w:rsidP="00764D63">
      <w:pPr>
        <w:spacing w:before="1" w:line="259" w:lineRule="auto"/>
        <w:ind w:left="361"/>
        <w:rPr>
          <w:sz w:val="15"/>
        </w:rPr>
      </w:pPr>
    </w:p>
    <w:p w:rsidR="009A75FF" w:rsidRDefault="009A75FF" w:rsidP="009A75FF">
      <w:pPr>
        <w:adjustRightInd w:val="0"/>
        <w:rPr>
          <w:rFonts w:ascii="TimesTenLTStd-Roman" w:eastAsiaTheme="minorEastAsia" w:hAnsi="TimesTenLTStd-Roman" w:cs="TimesTenLTStd-Roman"/>
          <w:sz w:val="20"/>
          <w:szCs w:val="20"/>
        </w:rPr>
      </w:pPr>
      <w:r>
        <w:rPr>
          <w:rFonts w:ascii="TimesTenLTStd-Roman" w:eastAsiaTheme="minorEastAsia" w:hAnsi="TimesTenLTStd-Roman" w:cs="TimesTenLTStd-Roman"/>
          <w:sz w:val="20"/>
          <w:szCs w:val="20"/>
        </w:rPr>
        <w:lastRenderedPageBreak/>
        <w:t>Next, you will find an extended version of the d</w:t>
      </w:r>
      <w:r>
        <w:rPr>
          <w:rFonts w:ascii="TimesTenLTStd-Roman" w:eastAsiaTheme="minorEastAsia" w:hAnsi="TimesTenLTStd-Roman" w:cs="TimesTenLTStd-Roman"/>
          <w:sz w:val="20"/>
          <w:szCs w:val="20"/>
        </w:rPr>
        <w:t>ata set described in the boxes;</w:t>
      </w:r>
      <w:r>
        <w:rPr>
          <w:rFonts w:ascii="TimesTenLTStd-Roman" w:eastAsiaTheme="minorEastAsia" w:hAnsi="TimesTenLTStd-Roman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Theme="minorEastAsia" w:hAnsi="TimesTenLTStd-Roman" w:cs="TimesTenLTStd-Roman"/>
          <w:sz w:val="20"/>
          <w:szCs w:val="20"/>
        </w:rPr>
        <w:t xml:space="preserve">the data are in the file </w:t>
      </w: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Stock_Returns_1931_2002 </w:t>
      </w:r>
      <w:r>
        <w:rPr>
          <w:rFonts w:ascii="TimesTenLTStd-Roman" w:eastAsiaTheme="minorEastAsia" w:hAnsi="TimesTenLTStd-Roman" w:cs="TimesTenLTStd-Roman"/>
          <w:sz w:val="20"/>
          <w:szCs w:val="20"/>
        </w:rPr>
        <w:t>and are described in the</w:t>
      </w:r>
      <w:r>
        <w:rPr>
          <w:rFonts w:ascii="TimesTenLTStd-Roman" w:eastAsiaTheme="minorEastAsia" w:hAnsi="TimesTenLTStd-Roman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Theme="minorEastAsia" w:hAnsi="TimesTenLTStd-Roman" w:cs="TimesTenLTStd-Roman"/>
          <w:sz w:val="20"/>
          <w:szCs w:val="20"/>
        </w:rPr>
        <w:t xml:space="preserve">file </w:t>
      </w: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>Stock_Returns_1931_2002_Description</w:t>
      </w:r>
      <w:r>
        <w:rPr>
          <w:rFonts w:ascii="TimesTenLTStd-Roman" w:eastAsiaTheme="minorEastAsia" w:hAnsi="TimesTenLTStd-Roman" w:cs="TimesTenLTStd-Roman"/>
          <w:sz w:val="20"/>
          <w:szCs w:val="20"/>
        </w:rPr>
        <w:t>.</w:t>
      </w:r>
    </w:p>
    <w:p w:rsidR="00BD41FB" w:rsidRDefault="00BD41FB" w:rsidP="009A75FF">
      <w:pPr>
        <w:adjustRightInd w:val="0"/>
        <w:rPr>
          <w:rFonts w:ascii="TimesTenLTStd-Roman" w:eastAsiaTheme="minorEastAsia" w:hAnsi="TimesTenLTStd-Roman" w:cs="TimesTenLTStd-Roman"/>
          <w:sz w:val="20"/>
          <w:szCs w:val="20"/>
        </w:rPr>
      </w:pPr>
    </w:p>
    <w:p w:rsidR="00BD41FB" w:rsidRDefault="00BD41FB" w:rsidP="00BD41FB">
      <w:pPr>
        <w:adjustRightInd w:val="0"/>
        <w:rPr>
          <w:rFonts w:ascii="TimesTenLTStd-Roman" w:eastAsia="TimesTenLTStd-Roman" w:hAnsi="TimesTenLTStd-Bold" w:cs="TimesTenLTStd-Roman"/>
          <w:sz w:val="20"/>
          <w:szCs w:val="20"/>
        </w:rPr>
      </w:pP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a.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Repeat the calculations reported i</w:t>
      </w:r>
      <w:r>
        <w:rPr>
          <w:rFonts w:ascii="TimesTenLTStd-Roman" w:eastAsia="TimesTenLTStd-Roman" w:hAnsi="TimesTenLTStd-Bold" w:cs="TimesTenLTStd-Roman"/>
          <w:sz w:val="20"/>
          <w:szCs w:val="20"/>
        </w:rPr>
        <w:t>n Table 14.2, using regressions</w:t>
      </w:r>
      <w:r>
        <w:rPr>
          <w:rFonts w:ascii="TimesTenLTStd-Roman" w:eastAsia="TimesTenLTStd-Roman" w:hAnsi="TimesTenLTStd-Bold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estimated over the 1932:M1</w:t>
      </w:r>
      <w:r>
        <w:rPr>
          <w:rFonts w:ascii="TimesTenLTStd-Roman" w:eastAsia="TimesTenLTStd-Roman" w:hAnsi="TimesTenLTStd-Bold" w:cs="TimesTenLTStd-Roman" w:hint="eastAsia"/>
          <w:sz w:val="20"/>
          <w:szCs w:val="20"/>
        </w:rPr>
        <w:t>–</w:t>
      </w:r>
      <w:r>
        <w:rPr>
          <w:rFonts w:ascii="TimesTenLTStd-Roman" w:eastAsia="TimesTenLTStd-Roman" w:hAnsi="TimesTenLTStd-Bold" w:cs="TimesTenLTStd-Roman"/>
          <w:sz w:val="20"/>
          <w:szCs w:val="20"/>
        </w:rPr>
        <w:t>2002:M12 sample period.</w:t>
      </w:r>
    </w:p>
    <w:p w:rsidR="00BD41FB" w:rsidRDefault="00BD41FB" w:rsidP="00BD41FB">
      <w:pPr>
        <w:adjustRightInd w:val="0"/>
        <w:rPr>
          <w:rFonts w:ascii="TimesTenLTStd-Roman" w:eastAsia="TimesTenLTStd-Roman" w:hAnsi="TimesTenLTStd-Bold" w:cs="TimesTenLTStd-Roman"/>
          <w:sz w:val="20"/>
          <w:szCs w:val="20"/>
        </w:rPr>
      </w:pP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b.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Repeat the calculations reported in Table 14</w:t>
      </w:r>
      <w:r>
        <w:rPr>
          <w:rFonts w:ascii="TimesTenLTStd-Roman" w:eastAsia="TimesTenLTStd-Roman" w:hAnsi="TimesTenLTStd-Bold" w:cs="TimesTenLTStd-Roman"/>
          <w:sz w:val="20"/>
          <w:szCs w:val="20"/>
        </w:rPr>
        <w:t>.6, using regressions estimated</w:t>
      </w:r>
      <w:r>
        <w:rPr>
          <w:rFonts w:ascii="TimesTenLTStd-Roman" w:eastAsia="TimesTenLTStd-Roman" w:hAnsi="TimesTenLTStd-Bold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over the 1932:M1</w:t>
      </w:r>
      <w:r>
        <w:rPr>
          <w:rFonts w:ascii="TimesTenLTStd-Roman" w:eastAsia="TimesTenLTStd-Roman" w:hAnsi="TimesTenLTStd-Bold" w:cs="TimesTenLTStd-Roman" w:hint="eastAsia"/>
          <w:sz w:val="20"/>
          <w:szCs w:val="20"/>
        </w:rPr>
        <w:t>–</w:t>
      </w:r>
      <w:r>
        <w:rPr>
          <w:rFonts w:ascii="TimesTenLTStd-Roman" w:eastAsia="TimesTenLTStd-Roman" w:hAnsi="TimesTenLTStd-Bold" w:cs="TimesTenLTStd-Roman"/>
          <w:sz w:val="20"/>
          <w:szCs w:val="20"/>
        </w:rPr>
        <w:t>2002:M12 sample period.</w:t>
      </w:r>
    </w:p>
    <w:p w:rsidR="00BD41FB" w:rsidRDefault="00BD41FB" w:rsidP="00BD41FB">
      <w:pPr>
        <w:adjustRightInd w:val="0"/>
        <w:rPr>
          <w:rFonts w:ascii="TimesTenLTStd-Roman" w:eastAsia="TimesTenLTStd-Roman" w:hAnsi="TimesTenLTStd-Bold" w:cs="TimesTenLTStd-Roman"/>
          <w:sz w:val="20"/>
          <w:szCs w:val="20"/>
        </w:rPr>
      </w:pP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c.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Is the variable ln(</w:t>
      </w:r>
      <w:r>
        <w:rPr>
          <w:rFonts w:ascii="TimesTenLTStd-Italic" w:eastAsia="TimesTenLTStd-Italic" w:hAnsi="TimesTenLTStd-Bold" w:cs="TimesTenLTStd-Italic"/>
          <w:i/>
          <w:iCs/>
          <w:sz w:val="20"/>
          <w:szCs w:val="20"/>
        </w:rPr>
        <w:t>dividend yield</w:t>
      </w:r>
      <w:r>
        <w:rPr>
          <w:rFonts w:ascii="TimesTenLTStd-Roman" w:eastAsia="TimesTenLTStd-Roman" w:hAnsi="TimesTenLTStd-Bold" w:cs="TimesTenLTStd-Roman"/>
          <w:sz w:val="20"/>
          <w:szCs w:val="20"/>
        </w:rPr>
        <w:t>) highly persistent? Explain.</w:t>
      </w:r>
    </w:p>
    <w:p w:rsidR="00BD41FB" w:rsidRDefault="00BD41FB" w:rsidP="00BD41FB">
      <w:pPr>
        <w:adjustRightInd w:val="0"/>
        <w:rPr>
          <w:rFonts w:ascii="TimesTenLTStd-Roman" w:eastAsia="TimesTenLTStd-Roman" w:hAnsi="TimesTenLTStd-Bold" w:cs="TimesTenLTStd-Roman"/>
          <w:sz w:val="20"/>
          <w:szCs w:val="20"/>
        </w:rPr>
      </w:pP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d.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Construct pseudo out-of-sample f</w:t>
      </w:r>
      <w:r>
        <w:rPr>
          <w:rFonts w:ascii="TimesTenLTStd-Roman" w:eastAsia="TimesTenLTStd-Roman" w:hAnsi="TimesTenLTStd-Bold" w:cs="TimesTenLTStd-Roman"/>
          <w:sz w:val="20"/>
          <w:szCs w:val="20"/>
        </w:rPr>
        <w:t>orecasts of excess returns over</w:t>
      </w:r>
      <w:r>
        <w:rPr>
          <w:rFonts w:ascii="TimesTenLTStd-Roman" w:eastAsia="TimesTenLTStd-Roman" w:hAnsi="TimesTenLTStd-Bold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the 1983:M1</w:t>
      </w:r>
      <w:r>
        <w:rPr>
          <w:rFonts w:ascii="TimesTenLTStd-Roman" w:eastAsia="TimesTenLTStd-Roman" w:hAnsi="TimesTenLTStd-Bold" w:cs="TimesTenLTStd-Roman" w:hint="eastAsia"/>
          <w:sz w:val="20"/>
          <w:szCs w:val="20"/>
        </w:rPr>
        <w:t>–</w:t>
      </w:r>
      <w:r>
        <w:rPr>
          <w:rFonts w:ascii="TimesTenLTStd-Roman" w:eastAsia="TimesTenLTStd-Roman" w:hAnsi="TimesTenLTStd-Bold" w:cs="TimesTenLTStd-Roman"/>
          <w:sz w:val="20"/>
          <w:szCs w:val="20"/>
        </w:rPr>
        <w:t xml:space="preserve">2002:M12 period,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using regressions that begin in</w:t>
      </w:r>
      <w:r>
        <w:rPr>
          <w:rFonts w:ascii="TimesTenLTStd-Roman" w:eastAsia="TimesTenLTStd-Roman" w:hAnsi="TimesTenLTStd-Bold" w:cs="TimesTenLTStd-Roman" w:hint="eastAsia"/>
          <w:sz w:val="20"/>
          <w:szCs w:val="20"/>
          <w:lang w:eastAsia="zh-CN"/>
        </w:rPr>
        <w:t xml:space="preserve">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1932:M1.</w:t>
      </w:r>
    </w:p>
    <w:p w:rsidR="00BD41FB" w:rsidRPr="00BD41FB" w:rsidRDefault="00BD41FB" w:rsidP="00BD41FB">
      <w:pPr>
        <w:adjustRightInd w:val="0"/>
        <w:rPr>
          <w:rFonts w:ascii="TimesTenLTStd-Roman" w:eastAsia="TimesTenLTStd-Roman" w:hAnsi="TimesTenLTStd-Bold" w:cs="TimesTenLTStd-Roman"/>
          <w:sz w:val="20"/>
          <w:szCs w:val="20"/>
        </w:rPr>
      </w:pPr>
      <w:r>
        <w:rPr>
          <w:rFonts w:ascii="TimesTenLTStd-Bold" w:eastAsiaTheme="minorEastAsia" w:hAnsi="TimesTenLTStd-Bold" w:cs="TimesTenLTStd-Bold"/>
          <w:b/>
          <w:bCs/>
          <w:sz w:val="20"/>
          <w:szCs w:val="20"/>
        </w:rPr>
        <w:t xml:space="preserve">e. </w:t>
      </w:r>
      <w:r>
        <w:rPr>
          <w:rFonts w:ascii="TimesTenLTStd-Roman" w:eastAsia="TimesTenLTStd-Roman" w:hAnsi="TimesTenLTStd-Bold" w:cs="TimesTenLTStd-Roman"/>
          <w:sz w:val="20"/>
          <w:szCs w:val="20"/>
        </w:rPr>
        <w:t>Do the results in (a) through (d) sugge</w:t>
      </w:r>
      <w:r>
        <w:rPr>
          <w:rFonts w:ascii="TimesTenLTStd-Roman" w:eastAsia="TimesTenLTStd-Roman" w:hAnsi="TimesTenLTStd-Bold" w:cs="TimesTenLTStd-Roman"/>
          <w:sz w:val="20"/>
          <w:szCs w:val="20"/>
        </w:rPr>
        <w:t>st any important changes to the</w:t>
      </w:r>
      <w:r>
        <w:rPr>
          <w:rFonts w:ascii="TimesTenLTStd-Roman" w:eastAsia="TimesTenLTStd-Roman" w:hAnsi="TimesTenLTStd-Bold" w:cs="TimesTenLTStd-Roman" w:hint="eastAsia"/>
          <w:sz w:val="20"/>
          <w:szCs w:val="20"/>
          <w:lang w:eastAsia="zh-CN"/>
        </w:rPr>
        <w:t xml:space="preserve"> </w:t>
      </w:r>
      <w:bookmarkStart w:id="3" w:name="_GoBack"/>
      <w:bookmarkEnd w:id="3"/>
      <w:r>
        <w:rPr>
          <w:rFonts w:ascii="TimesTenLTStd-Roman" w:eastAsia="TimesTenLTStd-Roman" w:hAnsi="TimesTenLTStd-Bold" w:cs="TimesTenLTStd-Roman"/>
          <w:sz w:val="20"/>
          <w:szCs w:val="20"/>
        </w:rPr>
        <w:t>conclusions reached in the boxes? Explain.</w:t>
      </w:r>
    </w:p>
    <w:sectPr w:rsidR="00BD41FB" w:rsidRPr="00BD41FB">
      <w:type w:val="continuous"/>
      <w:pgSz w:w="10420" w:h="13330"/>
      <w:pgMar w:top="640" w:right="78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38" w:rsidRDefault="001F1838" w:rsidP="001F1838">
      <w:r>
        <w:separator/>
      </w:r>
    </w:p>
  </w:endnote>
  <w:endnote w:type="continuationSeparator" w:id="0">
    <w:p w:rsidR="001F1838" w:rsidRDefault="001F1838" w:rsidP="001F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Times New Roman"/>
    <w:panose1 w:val="00000000000000000000"/>
    <w:charset w:val="A1"/>
    <w:family w:val="roman"/>
    <w:notTrueType/>
    <w:pitch w:val="default"/>
    <w:sig w:usb0="00000081" w:usb1="080E0000" w:usb2="00000010" w:usb3="00000000" w:csb0="00040008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Ten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LTStd-Italic">
    <w:altName w:val="宋体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38" w:rsidRDefault="001F1838" w:rsidP="001F1838">
      <w:r>
        <w:separator/>
      </w:r>
    </w:p>
  </w:footnote>
  <w:footnote w:type="continuationSeparator" w:id="0">
    <w:p w:rsidR="001F1838" w:rsidRDefault="001F1838" w:rsidP="001F1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66481"/>
    <w:rsid w:val="00132401"/>
    <w:rsid w:val="001F1838"/>
    <w:rsid w:val="00234C04"/>
    <w:rsid w:val="003150DB"/>
    <w:rsid w:val="00566481"/>
    <w:rsid w:val="00764D63"/>
    <w:rsid w:val="007B3629"/>
    <w:rsid w:val="007E4444"/>
    <w:rsid w:val="009A75FF"/>
    <w:rsid w:val="00A354C5"/>
    <w:rsid w:val="00BD41FB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0E2EE8"/>
  <w15:docId w15:val="{60E506DC-CCA2-43CF-9CCF-27477A78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1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F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183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1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183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__2.doc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0133486974.pdf</dc:title>
  <dc:creator>rawst</dc:creator>
  <cp:lastModifiedBy>rawstone@gmail.com</cp:lastModifiedBy>
  <cp:revision>9</cp:revision>
  <dcterms:created xsi:type="dcterms:W3CDTF">2018-11-26T14:00:00Z</dcterms:created>
  <dcterms:modified xsi:type="dcterms:W3CDTF">2018-11-26T14:36:00Z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2018-11-26T00:00:00Z</vt:filetime>
  </property>
</Properties>
</file>