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49C" w:rsidRDefault="0076349C">
      <w:pPr>
        <w:pStyle w:val="a3"/>
        <w:spacing w:before="7"/>
        <w:rPr>
          <w:sz w:val="38"/>
        </w:rPr>
      </w:pPr>
    </w:p>
    <w:p w:rsidR="0076349C" w:rsidRDefault="00D02A99">
      <w:pPr>
        <w:ind w:left="2541"/>
        <w:rPr>
          <w:b/>
          <w:sz w:val="24"/>
        </w:rPr>
      </w:pPr>
      <w:r>
        <w:rPr>
          <w:b/>
          <w:sz w:val="24"/>
        </w:rPr>
        <w:t>Documentation for Stock_Returns_1931_2002</w:t>
      </w:r>
    </w:p>
    <w:p w:rsidR="0076349C" w:rsidRDefault="0076349C">
      <w:pPr>
        <w:pStyle w:val="a3"/>
        <w:rPr>
          <w:b/>
        </w:rPr>
      </w:pPr>
    </w:p>
    <w:p w:rsidR="0076349C" w:rsidRDefault="00D02A99">
      <w:pPr>
        <w:pStyle w:val="a3"/>
        <w:spacing w:before="1"/>
        <w:ind w:left="100"/>
      </w:pPr>
      <w:r>
        <w:t>This file contains 2 monthly data series over the 1931:1-2002:12 sample period.</w:t>
      </w:r>
    </w:p>
    <w:p w:rsidR="0076349C" w:rsidRDefault="0076349C">
      <w:pPr>
        <w:pStyle w:val="a3"/>
        <w:spacing w:before="11"/>
        <w:rPr>
          <w:sz w:val="23"/>
        </w:rPr>
      </w:pPr>
    </w:p>
    <w:p w:rsidR="0076349C" w:rsidRDefault="00D02A99">
      <w:pPr>
        <w:ind w:left="100"/>
        <w:rPr>
          <w:sz w:val="24"/>
        </w:rPr>
      </w:pPr>
      <w:r>
        <w:rPr>
          <w:b/>
          <w:i/>
          <w:sz w:val="24"/>
          <w:u w:val="single"/>
        </w:rPr>
        <w:t>ExReturn:</w:t>
      </w:r>
      <w:r>
        <w:rPr>
          <w:b/>
          <w:i/>
          <w:sz w:val="24"/>
        </w:rPr>
        <w:t xml:space="preserve"> </w:t>
      </w:r>
      <w:r>
        <w:rPr>
          <w:sz w:val="24"/>
        </w:rPr>
        <w:t>Excess Returns</w:t>
      </w:r>
    </w:p>
    <w:p w:rsidR="0076349C" w:rsidRDefault="0076349C">
      <w:pPr>
        <w:pStyle w:val="a3"/>
        <w:spacing w:before="2"/>
        <w:rPr>
          <w:sz w:val="16"/>
        </w:rPr>
      </w:pPr>
    </w:p>
    <w:p w:rsidR="0076349C" w:rsidRDefault="00D02A99">
      <w:pPr>
        <w:spacing w:before="92" w:line="237" w:lineRule="auto"/>
        <w:ind w:left="100" w:right="107"/>
        <w:rPr>
          <w:sz w:val="24"/>
        </w:rPr>
      </w:pPr>
      <w:r>
        <w:rPr>
          <w:b/>
          <w:i/>
          <w:sz w:val="24"/>
          <w:u w:val="single"/>
        </w:rPr>
        <w:t>ln_DivYield:</w:t>
      </w:r>
      <w:r>
        <w:rPr>
          <w:b/>
          <w:i/>
          <w:sz w:val="24"/>
        </w:rPr>
        <w:t xml:space="preserve"> </w:t>
      </w:r>
      <w:r>
        <w:rPr>
          <w:sz w:val="24"/>
        </w:rPr>
        <w:t>100×ln(</w:t>
      </w:r>
      <w:r>
        <w:rPr>
          <w:i/>
          <w:sz w:val="24"/>
        </w:rPr>
        <w:t>dividend yield)</w:t>
      </w:r>
      <w:r>
        <w:rPr>
          <w:sz w:val="24"/>
        </w:rPr>
        <w:t>. (Multiplication by 100 means the changes are interpreted as percentage points).</w:t>
      </w:r>
    </w:p>
    <w:p w:rsidR="0076349C" w:rsidRDefault="0076349C">
      <w:pPr>
        <w:pStyle w:val="a3"/>
        <w:spacing w:before="1"/>
      </w:pPr>
    </w:p>
    <w:p w:rsidR="0076349C" w:rsidRPr="008A682B" w:rsidRDefault="008A682B" w:rsidP="008A682B">
      <w:pPr>
        <w:adjustRightInd w:val="0"/>
        <w:rPr>
          <w:sz w:val="24"/>
        </w:rPr>
      </w:pPr>
      <w:r w:rsidRPr="008A682B">
        <w:rPr>
          <w:sz w:val="24"/>
        </w:rPr>
        <w:t>The regressions in Table 14.2 and 14.6 use monthly financ</w:t>
      </w:r>
      <w:r>
        <w:rPr>
          <w:sz w:val="24"/>
        </w:rPr>
        <w:t xml:space="preserve">ial data for the United States. </w:t>
      </w:r>
      <w:r w:rsidRPr="008A682B">
        <w:rPr>
          <w:sz w:val="24"/>
        </w:rPr>
        <w:t>Stock prices (Pt) are measured by the broad-based (NYSE and AMEX) value-weighted</w:t>
      </w:r>
      <w:r>
        <w:rPr>
          <w:sz w:val="24"/>
        </w:rPr>
        <w:t xml:space="preserve"> </w:t>
      </w:r>
      <w:r w:rsidRPr="008A682B">
        <w:rPr>
          <w:sz w:val="24"/>
        </w:rPr>
        <w:t>index of stock prices constructed by the Center for Research</w:t>
      </w:r>
      <w:r>
        <w:rPr>
          <w:sz w:val="24"/>
        </w:rPr>
        <w:t xml:space="preserve"> in Security Prices (CRSP). The</w:t>
      </w:r>
      <w:r>
        <w:rPr>
          <w:rFonts w:eastAsiaTheme="minorEastAsia" w:hint="eastAsia"/>
          <w:sz w:val="24"/>
          <w:lang w:eastAsia="zh-CN"/>
        </w:rPr>
        <w:t xml:space="preserve"> </w:t>
      </w:r>
      <w:r w:rsidRPr="008A682B">
        <w:rPr>
          <w:sz w:val="24"/>
        </w:rPr>
        <w:t xml:space="preserve">monthly percentage excess return is 100 </w:t>
      </w:r>
      <w:r>
        <w:rPr>
          <w:sz w:val="24"/>
        </w:rPr>
        <w:t>×</w:t>
      </w:r>
      <w:r>
        <w:rPr>
          <w:sz w:val="24"/>
        </w:rPr>
        <w:t>{</w:t>
      </w:r>
      <w:r w:rsidRPr="008A682B">
        <w:rPr>
          <w:sz w:val="24"/>
        </w:rPr>
        <w:t>ln</w:t>
      </w:r>
      <w:r>
        <w:rPr>
          <w:sz w:val="24"/>
        </w:rPr>
        <w:t>[</w:t>
      </w:r>
      <w:r w:rsidRPr="008A682B">
        <w:rPr>
          <w:sz w:val="24"/>
        </w:rPr>
        <w:t>(P</w:t>
      </w:r>
      <w:r w:rsidRPr="008A682B">
        <w:rPr>
          <w:sz w:val="24"/>
          <w:vertAlign w:val="subscript"/>
        </w:rPr>
        <w:t>t</w:t>
      </w:r>
      <w:r w:rsidRPr="008A682B">
        <w:rPr>
          <w:sz w:val="24"/>
          <w:vertAlign w:val="subscript"/>
        </w:rPr>
        <w:t xml:space="preserve"> </w:t>
      </w:r>
      <w:r w:rsidRPr="008A682B">
        <w:rPr>
          <w:sz w:val="24"/>
        </w:rPr>
        <w:t>+ Div</w:t>
      </w:r>
      <w:r w:rsidRPr="008A682B">
        <w:rPr>
          <w:sz w:val="24"/>
          <w:vertAlign w:val="subscript"/>
        </w:rPr>
        <w:t>t</w:t>
      </w:r>
      <w:r w:rsidRPr="008A682B">
        <w:rPr>
          <w:sz w:val="24"/>
        </w:rPr>
        <w:t xml:space="preserve">) </w:t>
      </w:r>
      <w:r>
        <w:rPr>
          <w:sz w:val="24"/>
        </w:rPr>
        <w:t>/</w:t>
      </w:r>
      <w:r w:rsidRPr="008A682B">
        <w:rPr>
          <w:sz w:val="24"/>
        </w:rPr>
        <w:t>P</w:t>
      </w:r>
      <w:r w:rsidRPr="008A682B">
        <w:rPr>
          <w:sz w:val="24"/>
          <w:vertAlign w:val="subscript"/>
        </w:rPr>
        <w:t xml:space="preserve">t </w:t>
      </w:r>
      <w:r>
        <w:rPr>
          <w:sz w:val="24"/>
          <w:vertAlign w:val="subscript"/>
        </w:rPr>
        <w:t>–</w:t>
      </w:r>
      <w:r w:rsidRPr="008A682B">
        <w:rPr>
          <w:sz w:val="24"/>
          <w:vertAlign w:val="subscript"/>
        </w:rPr>
        <w:t xml:space="preserve"> 1</w:t>
      </w:r>
      <w:r>
        <w:rPr>
          <w:sz w:val="24"/>
        </w:rPr>
        <w:t>]</w:t>
      </w:r>
      <w:r w:rsidRPr="008A682B">
        <w:rPr>
          <w:sz w:val="24"/>
        </w:rPr>
        <w:t xml:space="preserve"> - ln(TBill</w:t>
      </w:r>
      <w:r w:rsidRPr="008A682B">
        <w:rPr>
          <w:sz w:val="24"/>
          <w:vertAlign w:val="subscript"/>
        </w:rPr>
        <w:t>t</w:t>
      </w:r>
      <w:r w:rsidRPr="008A682B">
        <w:rPr>
          <w:sz w:val="24"/>
        </w:rPr>
        <w:t>)</w:t>
      </w:r>
      <w:r>
        <w:rPr>
          <w:sz w:val="24"/>
        </w:rPr>
        <w:t>}, where</w:t>
      </w:r>
      <w:r>
        <w:rPr>
          <w:rFonts w:eastAsiaTheme="minorEastAsia" w:hint="eastAsia"/>
          <w:sz w:val="24"/>
          <w:lang w:eastAsia="zh-CN"/>
        </w:rPr>
        <w:t xml:space="preserve"> </w:t>
      </w:r>
      <w:r w:rsidRPr="008A682B">
        <w:rPr>
          <w:sz w:val="24"/>
        </w:rPr>
        <w:t>Div</w:t>
      </w:r>
      <w:r w:rsidRPr="00D02A99">
        <w:rPr>
          <w:sz w:val="24"/>
          <w:vertAlign w:val="subscript"/>
        </w:rPr>
        <w:t>t</w:t>
      </w:r>
      <w:r w:rsidRPr="008A682B">
        <w:rPr>
          <w:sz w:val="24"/>
        </w:rPr>
        <w:t xml:space="preserve"> is the dividends paid on the stocks in the CRSP index and TBill</w:t>
      </w:r>
      <w:r w:rsidRPr="00B4485C">
        <w:rPr>
          <w:sz w:val="24"/>
          <w:vertAlign w:val="subscript"/>
        </w:rPr>
        <w:t>t</w:t>
      </w:r>
      <w:r w:rsidRPr="008A682B">
        <w:rPr>
          <w:sz w:val="24"/>
        </w:rPr>
        <w:t xml:space="preserve"> </w:t>
      </w:r>
      <w:r w:rsidR="00B4485C">
        <w:rPr>
          <w:sz w:val="24"/>
        </w:rPr>
        <w:t>is the gross return</w:t>
      </w:r>
      <w:r w:rsidR="00B4485C">
        <w:rPr>
          <w:rFonts w:eastAsiaTheme="minorEastAsia" w:hint="eastAsia"/>
          <w:sz w:val="24"/>
          <w:lang w:eastAsia="zh-CN"/>
        </w:rPr>
        <w:t xml:space="preserve"> </w:t>
      </w:r>
      <w:r w:rsidRPr="008A682B">
        <w:rPr>
          <w:sz w:val="24"/>
        </w:rPr>
        <w:t>(1 plus the interest rate)</w:t>
      </w:r>
      <w:bookmarkStart w:id="0" w:name="_GoBack"/>
      <w:bookmarkEnd w:id="0"/>
      <w:r w:rsidRPr="008A682B">
        <w:rPr>
          <w:sz w:val="24"/>
        </w:rPr>
        <w:t xml:space="preserve"> on a 30-day Treasury bill during month t</w:t>
      </w:r>
      <w:r w:rsidR="00B4485C">
        <w:rPr>
          <w:sz w:val="24"/>
        </w:rPr>
        <w:t>. The dividend–price ratio</w:t>
      </w:r>
      <w:r w:rsidR="00B4485C">
        <w:rPr>
          <w:rFonts w:eastAsiaTheme="minorEastAsia" w:hint="eastAsia"/>
          <w:sz w:val="24"/>
          <w:lang w:eastAsia="zh-CN"/>
        </w:rPr>
        <w:t xml:space="preserve"> </w:t>
      </w:r>
      <w:r w:rsidRPr="008A682B">
        <w:rPr>
          <w:sz w:val="24"/>
        </w:rPr>
        <w:t>is constructed as the dividends over the past 12 months, divided by the price</w:t>
      </w:r>
      <w:r w:rsidR="00B4485C">
        <w:rPr>
          <w:sz w:val="24"/>
        </w:rPr>
        <w:t xml:space="preserve"> in the current</w:t>
      </w:r>
      <w:r w:rsidR="00B4485C">
        <w:rPr>
          <w:rFonts w:eastAsiaTheme="minorEastAsia" w:hint="eastAsia"/>
          <w:sz w:val="24"/>
          <w:lang w:eastAsia="zh-CN"/>
        </w:rPr>
        <w:t xml:space="preserve"> </w:t>
      </w:r>
      <w:r w:rsidRPr="008A682B">
        <w:rPr>
          <w:sz w:val="24"/>
        </w:rPr>
        <w:t xml:space="preserve">month. </w:t>
      </w:r>
    </w:p>
    <w:p w:rsidR="008A682B" w:rsidRDefault="008A682B" w:rsidP="008A682B">
      <w:pPr>
        <w:pStyle w:val="a3"/>
      </w:pPr>
    </w:p>
    <w:p w:rsidR="0076349C" w:rsidRDefault="00D02A99">
      <w:pPr>
        <w:ind w:left="100" w:right="94"/>
        <w:rPr>
          <w:sz w:val="24"/>
        </w:rPr>
      </w:pPr>
      <w:r>
        <w:rPr>
          <w:sz w:val="24"/>
        </w:rPr>
        <w:t xml:space="preserve">The data were supplied by Professor Motohiro Yogo of the University of Pennsylvania and were used in his paper with John Campbell </w:t>
      </w:r>
      <w:r>
        <w:rPr>
          <w:sz w:val="24"/>
        </w:rPr>
        <w:t>“</w:t>
      </w:r>
      <w:r>
        <w:rPr>
          <w:b/>
          <w:sz w:val="24"/>
        </w:rPr>
        <w:t xml:space="preserve">Efficient Tests of Stock Return Predictability,” </w:t>
      </w:r>
      <w:r>
        <w:rPr>
          <w:i/>
          <w:sz w:val="24"/>
        </w:rPr>
        <w:t>Journal of Financial Economics</w:t>
      </w:r>
      <w:r>
        <w:rPr>
          <w:sz w:val="24"/>
        </w:rPr>
        <w:t>, 2006.</w:t>
      </w:r>
    </w:p>
    <w:sectPr w:rsidR="0076349C">
      <w:type w:val="continuous"/>
      <w:pgSz w:w="12240" w:h="15840"/>
      <w:pgMar w:top="600" w:right="14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279" w:rsidRDefault="00D25279" w:rsidP="00D25279">
      <w:r>
        <w:separator/>
      </w:r>
    </w:p>
  </w:endnote>
  <w:endnote w:type="continuationSeparator" w:id="0">
    <w:p w:rsidR="00D25279" w:rsidRDefault="00D25279" w:rsidP="00D25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279" w:rsidRDefault="00D25279" w:rsidP="00D25279">
      <w:r>
        <w:separator/>
      </w:r>
    </w:p>
  </w:footnote>
  <w:footnote w:type="continuationSeparator" w:id="0">
    <w:p w:rsidR="00D25279" w:rsidRDefault="00D25279" w:rsidP="00D252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76349C"/>
    <w:rsid w:val="0076349C"/>
    <w:rsid w:val="008A682B"/>
    <w:rsid w:val="00B4485C"/>
    <w:rsid w:val="00D02A99"/>
    <w:rsid w:val="00D2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3E4D2"/>
  <w15:docId w15:val="{62AFBB3B-02AF-433F-BE85-2210AED7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D252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25279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2527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2527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rawstone@gmail.com</cp:lastModifiedBy>
  <cp:revision>4</cp:revision>
  <dcterms:created xsi:type="dcterms:W3CDTF">2018-11-26T14:11:00Z</dcterms:created>
  <dcterms:modified xsi:type="dcterms:W3CDTF">2018-11-26T14:27:00Z</dcterms:modified>
</cp:coreProperties>
</file>