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D9" w:rsidRDefault="00AD3BD9">
      <w:pPr>
        <w:pStyle w:val="a3"/>
        <w:spacing w:before="7"/>
        <w:rPr>
          <w:sz w:val="38"/>
        </w:rPr>
      </w:pPr>
    </w:p>
    <w:p w:rsidR="00AD3BD9" w:rsidRDefault="007F023D">
      <w:pPr>
        <w:ind w:left="2546"/>
        <w:rPr>
          <w:b/>
          <w:sz w:val="24"/>
        </w:rPr>
      </w:pPr>
      <w:r>
        <w:rPr>
          <w:b/>
          <w:sz w:val="24"/>
        </w:rPr>
        <w:t>Documentation for US_</w:t>
      </w:r>
      <w:r>
        <w:rPr>
          <w:b/>
          <w:sz w:val="24"/>
        </w:rPr>
        <w:t>Macro_Monthly</w:t>
      </w:r>
    </w:p>
    <w:p w:rsidR="00AD3BD9" w:rsidRDefault="00AD3BD9">
      <w:pPr>
        <w:pStyle w:val="a3"/>
        <w:rPr>
          <w:b/>
        </w:rPr>
      </w:pPr>
    </w:p>
    <w:p w:rsidR="00AD3BD9" w:rsidRDefault="007F023D">
      <w:pPr>
        <w:pStyle w:val="a3"/>
        <w:spacing w:before="1"/>
        <w:ind w:left="220" w:right="287"/>
      </w:pPr>
      <w:r>
        <w:t>These are monthly data on several macroeconomic variables from</w:t>
      </w:r>
      <w:bookmarkStart w:id="0" w:name="_GoBack"/>
      <w:bookmarkEnd w:id="0"/>
      <w:r>
        <w:t xml:space="preserve"> 1955:M1 – 2013:M12. The oil price series is the crude petroleum price from the U.S. Producer Price Index (Bureau of Labor Statistics). The index of industrial production is from the Federal Res</w:t>
      </w:r>
      <w:r>
        <w:t xml:space="preserve">erve Board (and was downloaded from FRED). You can find updates for these data on the web. The series </w:t>
      </w:r>
      <w:r>
        <w:rPr>
          <w:i/>
        </w:rPr>
        <w:t xml:space="preserve">O_T </w:t>
      </w:r>
      <w:r>
        <w:t>is the monthly oil price measure discussed in exercise 15.1. It is computed at</w:t>
      </w:r>
      <w:r>
        <w:rPr>
          <w:spacing w:val="-3"/>
        </w:rPr>
        <w:t xml:space="preserve"> </w:t>
      </w:r>
      <w:r>
        <w:t>follows:</w:t>
      </w:r>
    </w:p>
    <w:p w:rsidR="00AD3BD9" w:rsidRDefault="00AD3BD9">
      <w:pPr>
        <w:pStyle w:val="a3"/>
        <w:spacing w:before="11"/>
        <w:rPr>
          <w:sz w:val="23"/>
        </w:rPr>
      </w:pPr>
    </w:p>
    <w:p w:rsidR="00AD3BD9" w:rsidRDefault="007F023D">
      <w:pPr>
        <w:pStyle w:val="a3"/>
        <w:ind w:left="220"/>
      </w:pPr>
      <w:r>
        <w:t xml:space="preserve">Let </w:t>
      </w:r>
      <w:r>
        <w:rPr>
          <w:i/>
        </w:rPr>
        <w:t>PMax</w:t>
      </w:r>
      <w:r>
        <w:rPr>
          <w:i/>
          <w:vertAlign w:val="subscript"/>
        </w:rPr>
        <w:t>t</w:t>
      </w:r>
      <w:r>
        <w:rPr>
          <w:i/>
        </w:rPr>
        <w:t xml:space="preserve"> </w:t>
      </w:r>
      <w:r>
        <w:t xml:space="preserve">denote the largest value of WPU0561 from period </w:t>
      </w:r>
      <w:r>
        <w:rPr>
          <w:i/>
        </w:rPr>
        <w:t>t</w:t>
      </w:r>
      <w:r>
        <w:rPr>
          <w:rFonts w:ascii="Symbol" w:hAnsi="Symbol"/>
        </w:rPr>
        <w:t></w:t>
      </w:r>
      <w:r>
        <w:t>3</w:t>
      </w:r>
      <w:r>
        <w:t xml:space="preserve">6 to </w:t>
      </w:r>
      <w:r>
        <w:rPr>
          <w:i/>
        </w:rPr>
        <w:t xml:space="preserve">t </w:t>
      </w:r>
      <w:r>
        <w:rPr>
          <w:rFonts w:ascii="Symbol" w:hAnsi="Symbol"/>
        </w:rPr>
        <w:t></w:t>
      </w:r>
      <w:r>
        <w:t>1. Then</w:t>
      </w:r>
    </w:p>
    <w:p w:rsidR="00AD3BD9" w:rsidRDefault="00AD3BD9">
      <w:pPr>
        <w:pStyle w:val="a3"/>
        <w:spacing w:before="10"/>
        <w:rPr>
          <w:sz w:val="23"/>
        </w:rPr>
      </w:pPr>
    </w:p>
    <w:p w:rsidR="00AD3BD9" w:rsidRDefault="007F023D">
      <w:pPr>
        <w:spacing w:before="1"/>
        <w:ind w:left="980" w:right="2659"/>
        <w:jc w:val="center"/>
        <w:rPr>
          <w:i/>
          <w:sz w:val="24"/>
        </w:rPr>
      </w:pPr>
      <w:r>
        <w:rPr>
          <w:i/>
          <w:sz w:val="24"/>
        </w:rPr>
        <w:t>O_T</w:t>
      </w:r>
      <w:r>
        <w:rPr>
          <w:i/>
          <w:sz w:val="24"/>
          <w:vertAlign w:val="subscript"/>
        </w:rPr>
        <w:t>t</w:t>
      </w:r>
      <w:r>
        <w:rPr>
          <w:i/>
          <w:sz w:val="24"/>
        </w:rPr>
        <w:t xml:space="preserve"> </w:t>
      </w:r>
      <w:r>
        <w:rPr>
          <w:sz w:val="24"/>
        </w:rPr>
        <w:t>= 100*(</w:t>
      </w:r>
      <w:r>
        <w:rPr>
          <w:i/>
          <w:sz w:val="24"/>
        </w:rPr>
        <w:t>WPU0561</w:t>
      </w:r>
      <w:r>
        <w:rPr>
          <w:i/>
          <w:sz w:val="24"/>
          <w:vertAlign w:val="subscript"/>
        </w:rPr>
        <w:t>t</w:t>
      </w:r>
      <w:r>
        <w:rPr>
          <w:i/>
          <w:sz w:val="24"/>
        </w:rPr>
        <w:t xml:space="preserve"> </w:t>
      </w:r>
      <w:r>
        <w:rPr>
          <w:sz w:val="24"/>
        </w:rPr>
        <w:t xml:space="preserve">/ </w:t>
      </w:r>
      <w:r>
        <w:rPr>
          <w:i/>
          <w:sz w:val="24"/>
        </w:rPr>
        <w:t>PMax</w:t>
      </w:r>
      <w:r>
        <w:rPr>
          <w:i/>
          <w:sz w:val="24"/>
          <w:vertAlign w:val="subscript"/>
        </w:rPr>
        <w:t>t</w:t>
      </w:r>
      <w:r>
        <w:rPr>
          <w:sz w:val="24"/>
        </w:rPr>
        <w:t xml:space="preserve">) if </w:t>
      </w:r>
      <w:r>
        <w:rPr>
          <w:i/>
          <w:sz w:val="24"/>
        </w:rPr>
        <w:t>WPU0561</w:t>
      </w:r>
      <w:r>
        <w:rPr>
          <w:i/>
          <w:sz w:val="24"/>
          <w:vertAlign w:val="subscript"/>
        </w:rPr>
        <w:t>t</w:t>
      </w:r>
      <w:r>
        <w:rPr>
          <w:i/>
          <w:sz w:val="24"/>
        </w:rPr>
        <w:t xml:space="preserve"> </w:t>
      </w:r>
      <w:r>
        <w:rPr>
          <w:sz w:val="24"/>
        </w:rPr>
        <w:t xml:space="preserve">&gt; </w:t>
      </w:r>
      <w:r>
        <w:rPr>
          <w:i/>
          <w:sz w:val="24"/>
        </w:rPr>
        <w:t>PMax</w:t>
      </w:r>
      <w:r>
        <w:rPr>
          <w:i/>
          <w:sz w:val="24"/>
          <w:vertAlign w:val="subscript"/>
        </w:rPr>
        <w:t>t</w:t>
      </w:r>
    </w:p>
    <w:p w:rsidR="00AD3BD9" w:rsidRDefault="007F023D">
      <w:pPr>
        <w:pStyle w:val="a3"/>
        <w:spacing w:before="2"/>
        <w:ind w:left="1480"/>
      </w:pPr>
      <w:r>
        <w:t>= 0 otherwise</w:t>
      </w:r>
    </w:p>
    <w:p w:rsidR="00AD3BD9" w:rsidRDefault="00AD3BD9">
      <w:pPr>
        <w:pStyle w:val="a3"/>
        <w:spacing w:before="8"/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0"/>
        <w:gridCol w:w="3932"/>
      </w:tblGrid>
      <w:tr w:rsidR="00AD3BD9">
        <w:trPr>
          <w:trHeight w:val="230"/>
        </w:trPr>
        <w:tc>
          <w:tcPr>
            <w:tcW w:w="4930" w:type="dxa"/>
          </w:tcPr>
          <w:p w:rsidR="00AD3BD9" w:rsidRDefault="007F023D">
            <w:pPr>
              <w:pStyle w:val="TableParagraph"/>
              <w:spacing w:line="205" w:lineRule="exact"/>
              <w:ind w:left="179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Variable Name</w:t>
            </w:r>
          </w:p>
        </w:tc>
        <w:tc>
          <w:tcPr>
            <w:tcW w:w="3932" w:type="dxa"/>
          </w:tcPr>
          <w:p w:rsidR="00AD3BD9" w:rsidRDefault="007F023D">
            <w:pPr>
              <w:pStyle w:val="TableParagraph"/>
              <w:spacing w:line="205" w:lineRule="exact"/>
              <w:ind w:left="1447" w:right="14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Description</w:t>
            </w:r>
          </w:p>
        </w:tc>
      </w:tr>
      <w:tr w:rsidR="00AD3BD9">
        <w:trPr>
          <w:trHeight w:val="234"/>
        </w:trPr>
        <w:tc>
          <w:tcPr>
            <w:tcW w:w="4930" w:type="dxa"/>
          </w:tcPr>
          <w:p w:rsidR="00AD3BD9" w:rsidRDefault="007F023D">
            <w:pPr>
              <w:pStyle w:val="TableParagraph"/>
              <w:spacing w:before="8"/>
              <w:ind w:left="1799"/>
              <w:rPr>
                <w:rFonts w:ascii="Lucida Sans"/>
                <w:sz w:val="19"/>
              </w:rPr>
            </w:pPr>
            <w:r>
              <w:rPr>
                <w:rFonts w:ascii="Lucida Sans"/>
                <w:w w:val="105"/>
                <w:sz w:val="19"/>
              </w:rPr>
              <w:t>WPU0561</w:t>
            </w:r>
          </w:p>
        </w:tc>
        <w:tc>
          <w:tcPr>
            <w:tcW w:w="3932" w:type="dxa"/>
          </w:tcPr>
          <w:p w:rsidR="00AD3BD9" w:rsidRDefault="007F023D">
            <w:pPr>
              <w:pStyle w:val="TableParagraph"/>
              <w:spacing w:line="210" w:lineRule="exact"/>
              <w:ind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Producer Price Index: Crude Petroleum (BLS)</w:t>
            </w:r>
          </w:p>
        </w:tc>
      </w:tr>
      <w:tr w:rsidR="00AD3BD9">
        <w:trPr>
          <w:trHeight w:val="234"/>
        </w:trPr>
        <w:tc>
          <w:tcPr>
            <w:tcW w:w="4930" w:type="dxa"/>
          </w:tcPr>
          <w:p w:rsidR="00AD3BD9" w:rsidRDefault="007F023D">
            <w:pPr>
              <w:pStyle w:val="TableParagraph"/>
              <w:spacing w:before="8"/>
              <w:ind w:left="1798"/>
              <w:rPr>
                <w:rFonts w:ascii="Lucida Sans"/>
                <w:sz w:val="19"/>
              </w:rPr>
            </w:pPr>
            <w:r>
              <w:rPr>
                <w:rFonts w:ascii="Lucida Sans"/>
                <w:w w:val="105"/>
                <w:sz w:val="19"/>
              </w:rPr>
              <w:t>INDPRO</w:t>
            </w:r>
          </w:p>
        </w:tc>
        <w:tc>
          <w:tcPr>
            <w:tcW w:w="3932" w:type="dxa"/>
          </w:tcPr>
          <w:p w:rsidR="00AD3BD9" w:rsidRDefault="007F023D">
            <w:pPr>
              <w:pStyle w:val="TableParagraph"/>
              <w:spacing w:line="210" w:lineRule="exact"/>
              <w:ind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Industrial Production Index (FRED)</w:t>
            </w:r>
          </w:p>
        </w:tc>
      </w:tr>
      <w:tr w:rsidR="00AD3BD9">
        <w:trPr>
          <w:trHeight w:val="234"/>
        </w:trPr>
        <w:tc>
          <w:tcPr>
            <w:tcW w:w="4930" w:type="dxa"/>
          </w:tcPr>
          <w:p w:rsidR="00AD3BD9" w:rsidRDefault="007F023D">
            <w:pPr>
              <w:pStyle w:val="TableParagraph"/>
              <w:spacing w:before="8"/>
              <w:ind w:left="1799"/>
              <w:rPr>
                <w:rFonts w:ascii="Lucida Sans"/>
                <w:sz w:val="19"/>
              </w:rPr>
            </w:pPr>
            <w:r>
              <w:rPr>
                <w:rFonts w:ascii="Lucida Sans"/>
                <w:w w:val="105"/>
                <w:sz w:val="19"/>
              </w:rPr>
              <w:t>O_T</w:t>
            </w:r>
          </w:p>
        </w:tc>
        <w:tc>
          <w:tcPr>
            <w:tcW w:w="3932" w:type="dxa"/>
          </w:tcPr>
          <w:p w:rsidR="00AD3BD9" w:rsidRDefault="007F023D">
            <w:pPr>
              <w:pStyle w:val="TableParagraph"/>
              <w:spacing w:line="210" w:lineRule="exact"/>
              <w:ind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Hamilton’s oil price measure</w:t>
            </w:r>
          </w:p>
        </w:tc>
      </w:tr>
    </w:tbl>
    <w:p w:rsidR="00000000" w:rsidRDefault="007F023D"/>
    <w:sectPr w:rsidR="00000000">
      <w:type w:val="continuous"/>
      <w:pgSz w:w="12240" w:h="15840"/>
      <w:pgMar w:top="60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23D" w:rsidRDefault="007F023D" w:rsidP="007F023D">
      <w:r>
        <w:separator/>
      </w:r>
    </w:p>
  </w:endnote>
  <w:endnote w:type="continuationSeparator" w:id="0">
    <w:p w:rsidR="007F023D" w:rsidRDefault="007F023D" w:rsidP="007F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23D" w:rsidRDefault="007F023D" w:rsidP="007F023D">
      <w:r>
        <w:separator/>
      </w:r>
    </w:p>
  </w:footnote>
  <w:footnote w:type="continuationSeparator" w:id="0">
    <w:p w:rsidR="007F023D" w:rsidRDefault="007F023D" w:rsidP="007F0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D3BD9"/>
    <w:rsid w:val="007F023D"/>
    <w:rsid w:val="00A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3E5"/>
  <w15:docId w15:val="{75164472-7212-4C1B-8ACD-E607E020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" w:line="207" w:lineRule="exact"/>
      <w:ind w:left="105" w:right="1790"/>
      <w:jc w:val="center"/>
    </w:pPr>
  </w:style>
  <w:style w:type="paragraph" w:styleId="a5">
    <w:name w:val="header"/>
    <w:basedOn w:val="a"/>
    <w:link w:val="a6"/>
    <w:uiPriority w:val="99"/>
    <w:unhideWhenUsed/>
    <w:rsid w:val="007F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023D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02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023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rawstone@gmail.com</cp:lastModifiedBy>
  <cp:revision>2</cp:revision>
  <dcterms:created xsi:type="dcterms:W3CDTF">2018-11-26T15:01:00Z</dcterms:created>
  <dcterms:modified xsi:type="dcterms:W3CDTF">2018-11-26T15:01:00Z</dcterms:modified>
</cp:coreProperties>
</file>