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74E" w:rsidRDefault="0052774E">
      <w:pPr>
        <w:pStyle w:val="a3"/>
        <w:spacing w:before="7"/>
        <w:rPr>
          <w:sz w:val="38"/>
        </w:rPr>
      </w:pPr>
      <w:bookmarkStart w:id="0" w:name="_GoBack"/>
      <w:bookmarkEnd w:id="0"/>
    </w:p>
    <w:p w:rsidR="0052774E" w:rsidRDefault="006613BE">
      <w:pPr>
        <w:ind w:left="2473"/>
        <w:rPr>
          <w:b/>
          <w:sz w:val="24"/>
        </w:rPr>
      </w:pPr>
      <w:r>
        <w:rPr>
          <w:b/>
          <w:sz w:val="24"/>
        </w:rPr>
        <w:t>Documentation for USMacro_Quarterly</w:t>
      </w:r>
    </w:p>
    <w:p w:rsidR="0052774E" w:rsidRDefault="0052774E">
      <w:pPr>
        <w:pStyle w:val="a3"/>
        <w:rPr>
          <w:b/>
        </w:rPr>
      </w:pPr>
    </w:p>
    <w:p w:rsidR="0052774E" w:rsidRDefault="006613BE">
      <w:pPr>
        <w:pStyle w:val="a3"/>
        <w:spacing w:before="1"/>
        <w:ind w:left="220" w:right="235"/>
      </w:pPr>
      <w:r>
        <w:t>These are quarterly data on several macroeconomic variables from 1957:Q1 – 2013:Q4. All data series are from the Federal Reserve Economic Data (FRED) database maintained by the Federal Reserve Bank of St. Louis. You can find updates for these data series t</w:t>
      </w:r>
      <w:r>
        <w:t>here.</w:t>
      </w:r>
    </w:p>
    <w:p w:rsidR="0052774E" w:rsidRDefault="0052774E">
      <w:pPr>
        <w:pStyle w:val="a3"/>
        <w:rPr>
          <w:sz w:val="20"/>
        </w:rPr>
      </w:pPr>
    </w:p>
    <w:p w:rsidR="0052774E" w:rsidRDefault="0052774E">
      <w:pPr>
        <w:pStyle w:val="a3"/>
        <w:spacing w:before="8"/>
        <w:rPr>
          <w:sz w:val="28"/>
        </w:rPr>
      </w:pPr>
    </w:p>
    <w:tbl>
      <w:tblPr>
        <w:tblStyle w:val="TableNormal"/>
        <w:tblW w:w="0" w:type="auto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69"/>
        <w:gridCol w:w="7392"/>
      </w:tblGrid>
      <w:tr w:rsidR="0052774E">
        <w:trPr>
          <w:trHeight w:val="460"/>
        </w:trPr>
        <w:tc>
          <w:tcPr>
            <w:tcW w:w="1469" w:type="dxa"/>
          </w:tcPr>
          <w:p w:rsidR="0052774E" w:rsidRDefault="006613BE">
            <w:pPr>
              <w:pStyle w:val="TableParagraph"/>
              <w:spacing w:line="240" w:lineRule="auto"/>
              <w:ind w:right="22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Variable</w:t>
            </w:r>
          </w:p>
          <w:p w:rsidR="0052774E" w:rsidRDefault="006613BE">
            <w:pPr>
              <w:pStyle w:val="TableParagraph"/>
              <w:spacing w:before="11"/>
              <w:ind w:right="221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Name</w:t>
            </w:r>
          </w:p>
        </w:tc>
        <w:tc>
          <w:tcPr>
            <w:tcW w:w="7392" w:type="dxa"/>
          </w:tcPr>
          <w:p w:rsidR="0052774E" w:rsidRDefault="006613BE">
            <w:pPr>
              <w:pStyle w:val="TableParagraph"/>
              <w:spacing w:line="240" w:lineRule="auto"/>
              <w:ind w:left="3181" w:right="317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Description</w:t>
            </w:r>
          </w:p>
        </w:tc>
      </w:tr>
      <w:tr w:rsidR="0052774E">
        <w:trPr>
          <w:trHeight w:val="230"/>
        </w:trPr>
        <w:tc>
          <w:tcPr>
            <w:tcW w:w="1469" w:type="dxa"/>
          </w:tcPr>
          <w:p w:rsidR="0052774E" w:rsidRDefault="006613BE">
            <w:pPr>
              <w:pStyle w:val="TableParagraph"/>
              <w:ind w:right="221"/>
              <w:rPr>
                <w:sz w:val="19"/>
              </w:rPr>
            </w:pPr>
            <w:r>
              <w:rPr>
                <w:w w:val="105"/>
                <w:sz w:val="19"/>
              </w:rPr>
              <w:t>GDPC96</w:t>
            </w:r>
          </w:p>
        </w:tc>
        <w:tc>
          <w:tcPr>
            <w:tcW w:w="7392" w:type="dxa"/>
          </w:tcPr>
          <w:p w:rsidR="0052774E" w:rsidRDefault="006613BE">
            <w:pPr>
              <w:pStyle w:val="TableParagraph"/>
              <w:ind w:left="10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Real Gross Domestic Product</w:t>
            </w:r>
          </w:p>
        </w:tc>
      </w:tr>
      <w:tr w:rsidR="0052774E">
        <w:trPr>
          <w:trHeight w:val="230"/>
        </w:trPr>
        <w:tc>
          <w:tcPr>
            <w:tcW w:w="1469" w:type="dxa"/>
          </w:tcPr>
          <w:p w:rsidR="0052774E" w:rsidRDefault="006613BE">
            <w:pPr>
              <w:pStyle w:val="TableParagraph"/>
              <w:ind w:right="221"/>
              <w:rPr>
                <w:sz w:val="19"/>
              </w:rPr>
            </w:pPr>
            <w:r>
              <w:rPr>
                <w:w w:val="105"/>
                <w:sz w:val="19"/>
              </w:rPr>
              <w:t>JAPAN_IP</w:t>
            </w:r>
          </w:p>
        </w:tc>
        <w:tc>
          <w:tcPr>
            <w:tcW w:w="7392" w:type="dxa"/>
          </w:tcPr>
          <w:p w:rsidR="0052774E" w:rsidRDefault="006613BE">
            <w:pPr>
              <w:pStyle w:val="TableParagraph"/>
              <w:ind w:left="10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Production of Total Industry in Japan (FRED series name is JPNPROINDQISMEI)</w:t>
            </w:r>
          </w:p>
        </w:tc>
      </w:tr>
      <w:tr w:rsidR="0052774E">
        <w:trPr>
          <w:trHeight w:val="230"/>
        </w:trPr>
        <w:tc>
          <w:tcPr>
            <w:tcW w:w="1469" w:type="dxa"/>
          </w:tcPr>
          <w:p w:rsidR="0052774E" w:rsidRDefault="006613BE">
            <w:pPr>
              <w:pStyle w:val="TableParagraph"/>
              <w:ind w:right="218"/>
              <w:rPr>
                <w:sz w:val="19"/>
              </w:rPr>
            </w:pPr>
            <w:r>
              <w:rPr>
                <w:w w:val="105"/>
                <w:sz w:val="19"/>
              </w:rPr>
              <w:t>PCECTPI</w:t>
            </w:r>
          </w:p>
        </w:tc>
        <w:tc>
          <w:tcPr>
            <w:tcW w:w="7392" w:type="dxa"/>
          </w:tcPr>
          <w:p w:rsidR="0052774E" w:rsidRDefault="006613BE">
            <w:pPr>
              <w:pStyle w:val="TableParagraph"/>
              <w:ind w:left="10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Personal Consumption Expenditures: Chain-type Price Index</w:t>
            </w:r>
          </w:p>
        </w:tc>
      </w:tr>
      <w:tr w:rsidR="0052774E">
        <w:trPr>
          <w:trHeight w:val="230"/>
        </w:trPr>
        <w:tc>
          <w:tcPr>
            <w:tcW w:w="1469" w:type="dxa"/>
          </w:tcPr>
          <w:p w:rsidR="0052774E" w:rsidRDefault="006613BE">
            <w:pPr>
              <w:pStyle w:val="TableParagraph"/>
              <w:ind w:right="221"/>
              <w:rPr>
                <w:sz w:val="19"/>
              </w:rPr>
            </w:pPr>
            <w:r>
              <w:rPr>
                <w:w w:val="105"/>
                <w:sz w:val="19"/>
              </w:rPr>
              <w:t>GS10</w:t>
            </w:r>
          </w:p>
        </w:tc>
        <w:tc>
          <w:tcPr>
            <w:tcW w:w="7392" w:type="dxa"/>
          </w:tcPr>
          <w:p w:rsidR="0052774E" w:rsidRDefault="006613BE">
            <w:pPr>
              <w:pStyle w:val="TableParagraph"/>
              <w:ind w:left="10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10-Year Treasury Constant Maturity Rate (Quarterly Average of Monthly Values)</w:t>
            </w:r>
          </w:p>
        </w:tc>
      </w:tr>
      <w:tr w:rsidR="0052774E">
        <w:trPr>
          <w:trHeight w:val="230"/>
        </w:trPr>
        <w:tc>
          <w:tcPr>
            <w:tcW w:w="1469" w:type="dxa"/>
          </w:tcPr>
          <w:p w:rsidR="0052774E" w:rsidRDefault="006613BE">
            <w:pPr>
              <w:pStyle w:val="TableParagraph"/>
              <w:ind w:right="221"/>
              <w:rPr>
                <w:sz w:val="19"/>
              </w:rPr>
            </w:pPr>
            <w:r>
              <w:rPr>
                <w:w w:val="105"/>
                <w:sz w:val="19"/>
              </w:rPr>
              <w:t>GS1</w:t>
            </w:r>
          </w:p>
        </w:tc>
        <w:tc>
          <w:tcPr>
            <w:tcW w:w="7392" w:type="dxa"/>
          </w:tcPr>
          <w:p w:rsidR="0052774E" w:rsidRDefault="006613BE">
            <w:pPr>
              <w:pStyle w:val="TableParagraph"/>
              <w:ind w:left="10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1-Year Treasury Constant Maturity Rate (Quarterly Average of Monthly Values)</w:t>
            </w:r>
          </w:p>
        </w:tc>
      </w:tr>
      <w:tr w:rsidR="0052774E">
        <w:trPr>
          <w:trHeight w:val="230"/>
        </w:trPr>
        <w:tc>
          <w:tcPr>
            <w:tcW w:w="1469" w:type="dxa"/>
          </w:tcPr>
          <w:p w:rsidR="0052774E" w:rsidRDefault="006613BE">
            <w:pPr>
              <w:pStyle w:val="TableParagraph"/>
              <w:ind w:right="221"/>
              <w:rPr>
                <w:sz w:val="19"/>
              </w:rPr>
            </w:pPr>
            <w:r>
              <w:rPr>
                <w:w w:val="105"/>
                <w:sz w:val="19"/>
              </w:rPr>
              <w:t>TB3MS</w:t>
            </w:r>
          </w:p>
        </w:tc>
        <w:tc>
          <w:tcPr>
            <w:tcW w:w="7392" w:type="dxa"/>
          </w:tcPr>
          <w:p w:rsidR="0052774E" w:rsidRDefault="006613BE">
            <w:pPr>
              <w:pStyle w:val="TableParagraph"/>
              <w:ind w:left="10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3-Month Treasury Bill: Secondary Market Rate (Quarterly Average of Monthly Values)</w:t>
            </w:r>
          </w:p>
        </w:tc>
      </w:tr>
      <w:tr w:rsidR="0052774E">
        <w:trPr>
          <w:trHeight w:val="230"/>
        </w:trPr>
        <w:tc>
          <w:tcPr>
            <w:tcW w:w="1469" w:type="dxa"/>
          </w:tcPr>
          <w:p w:rsidR="0052774E" w:rsidRDefault="006613BE">
            <w:pPr>
              <w:pStyle w:val="TableParagraph"/>
              <w:ind w:right="221"/>
              <w:rPr>
                <w:sz w:val="19"/>
              </w:rPr>
            </w:pPr>
            <w:r>
              <w:rPr>
                <w:w w:val="105"/>
                <w:sz w:val="19"/>
              </w:rPr>
              <w:t>UNRATE</w:t>
            </w:r>
          </w:p>
        </w:tc>
        <w:tc>
          <w:tcPr>
            <w:tcW w:w="7392" w:type="dxa"/>
          </w:tcPr>
          <w:p w:rsidR="0052774E" w:rsidRDefault="006613BE">
            <w:pPr>
              <w:pStyle w:val="TableParagraph"/>
              <w:ind w:left="10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Civilian Unemployment Rate (Quarterly Average of Monthly Values)</w:t>
            </w:r>
          </w:p>
        </w:tc>
      </w:tr>
      <w:tr w:rsidR="0052774E">
        <w:trPr>
          <w:trHeight w:val="230"/>
        </w:trPr>
        <w:tc>
          <w:tcPr>
            <w:tcW w:w="1469" w:type="dxa"/>
          </w:tcPr>
          <w:p w:rsidR="0052774E" w:rsidRDefault="006613BE">
            <w:pPr>
              <w:pStyle w:val="TableParagraph"/>
              <w:ind w:right="221"/>
              <w:rPr>
                <w:sz w:val="19"/>
              </w:rPr>
            </w:pPr>
            <w:r>
              <w:rPr>
                <w:w w:val="105"/>
                <w:sz w:val="19"/>
              </w:rPr>
              <w:t>EXUSUK</w:t>
            </w:r>
          </w:p>
        </w:tc>
        <w:tc>
          <w:tcPr>
            <w:tcW w:w="7392" w:type="dxa"/>
          </w:tcPr>
          <w:p w:rsidR="0052774E" w:rsidRDefault="006613BE">
            <w:pPr>
              <w:pStyle w:val="TableParagraph"/>
              <w:ind w:left="10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U.S. / U.K. Foreign Exchange Rate (Quarterly Average of Daily Values)</w:t>
            </w:r>
          </w:p>
        </w:tc>
      </w:tr>
      <w:tr w:rsidR="0052774E">
        <w:trPr>
          <w:trHeight w:val="460"/>
        </w:trPr>
        <w:tc>
          <w:tcPr>
            <w:tcW w:w="1469" w:type="dxa"/>
          </w:tcPr>
          <w:p w:rsidR="0052774E" w:rsidRDefault="006613BE">
            <w:pPr>
              <w:pStyle w:val="TableParagraph"/>
              <w:spacing w:line="240" w:lineRule="auto"/>
              <w:ind w:right="221"/>
              <w:rPr>
                <w:sz w:val="19"/>
              </w:rPr>
            </w:pPr>
            <w:r>
              <w:rPr>
                <w:w w:val="105"/>
                <w:sz w:val="19"/>
              </w:rPr>
              <w:t>CPIAUCSL</w:t>
            </w:r>
          </w:p>
        </w:tc>
        <w:tc>
          <w:tcPr>
            <w:tcW w:w="7392" w:type="dxa"/>
          </w:tcPr>
          <w:p w:rsidR="0052774E" w:rsidRDefault="006613BE">
            <w:pPr>
              <w:pStyle w:val="TableParagraph"/>
              <w:spacing w:line="240" w:lineRule="auto"/>
              <w:ind w:left="10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Consumer Price Index for All Urban Consumers: All Items (Quarterly Average of</w:t>
            </w:r>
          </w:p>
          <w:p w:rsidR="0052774E" w:rsidRDefault="006613BE">
            <w:pPr>
              <w:pStyle w:val="TableParagraph"/>
              <w:spacing w:before="11"/>
              <w:ind w:left="10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Monthly Values)</w:t>
            </w:r>
          </w:p>
        </w:tc>
      </w:tr>
    </w:tbl>
    <w:p w:rsidR="00000000" w:rsidRDefault="006613BE"/>
    <w:sectPr w:rsidR="00000000">
      <w:type w:val="continuous"/>
      <w:pgSz w:w="12240" w:h="15840"/>
      <w:pgMar w:top="600" w:right="158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3BE" w:rsidRDefault="006613BE" w:rsidP="006613BE">
      <w:r>
        <w:separator/>
      </w:r>
    </w:p>
  </w:endnote>
  <w:endnote w:type="continuationSeparator" w:id="0">
    <w:p w:rsidR="006613BE" w:rsidRDefault="006613BE" w:rsidP="00661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3BE" w:rsidRDefault="006613BE" w:rsidP="006613BE">
      <w:r>
        <w:separator/>
      </w:r>
    </w:p>
  </w:footnote>
  <w:footnote w:type="continuationSeparator" w:id="0">
    <w:p w:rsidR="006613BE" w:rsidRDefault="006613BE" w:rsidP="006613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52774E"/>
    <w:rsid w:val="0052774E"/>
    <w:rsid w:val="0066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A53CCD17-8814-454D-8EE9-59E66BEE4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5" w:line="205" w:lineRule="exact"/>
      <w:ind w:left="232"/>
      <w:jc w:val="center"/>
    </w:pPr>
  </w:style>
  <w:style w:type="paragraph" w:styleId="a5">
    <w:name w:val="header"/>
    <w:basedOn w:val="a"/>
    <w:link w:val="a6"/>
    <w:uiPriority w:val="99"/>
    <w:unhideWhenUsed/>
    <w:rsid w:val="006613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613BE"/>
    <w:rPr>
      <w:rFonts w:ascii="Times New Roman" w:eastAsia="Times New Roman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613B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613BE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rawstone@gmail.com</cp:lastModifiedBy>
  <cp:revision>2</cp:revision>
  <dcterms:created xsi:type="dcterms:W3CDTF">2018-11-26T14:29:00Z</dcterms:created>
  <dcterms:modified xsi:type="dcterms:W3CDTF">2018-11-26T14:29:00Z</dcterms:modified>
</cp:coreProperties>
</file>