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2BC7" w14:textId="77777777" w:rsidR="00D25004" w:rsidRPr="0044143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X7f51017fe0749296c262b74602b32b0512f7652"/>
      <w:r w:rsidRPr="00441438">
        <w:rPr>
          <w:rFonts w:ascii="Times New Roman" w:hAnsi="Times New Roman" w:cs="Times New Roman"/>
          <w:color w:val="000000" w:themeColor="text1"/>
        </w:rPr>
        <w:t>Friction Modelling and Grey-Box Identification of Joint-1 of a 6-DOF Svaya Robotic Manipulator</w:t>
      </w:r>
    </w:p>
    <w:p w14:paraId="1C782213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objective"/>
      <w:r w:rsidRPr="00441438">
        <w:rPr>
          <w:rFonts w:ascii="Times New Roman" w:hAnsi="Times New Roman" w:cs="Times New Roman"/>
          <w:color w:val="000000" w:themeColor="text1"/>
        </w:rPr>
        <w:t>1. Objective</w:t>
      </w:r>
    </w:p>
    <w:p w14:paraId="47BFEFE5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objective of this work is to identify a mathematical model capable of representing the dominant friction-related behavior observed in Joint-1 of a 6-DOF Svaya robotic manipulator using experimentally collected data.</w:t>
      </w:r>
    </w:p>
    <w:p w14:paraId="296303FD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study aims to:</w:t>
      </w:r>
    </w:p>
    <w:p w14:paraId="569CD055" w14:textId="77777777" w:rsidR="00D25004" w:rsidRPr="0044143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Estimate physically interpretable friction parameters.</w:t>
      </w:r>
    </w:p>
    <w:p w14:paraId="58F13B66" w14:textId="77777777" w:rsidR="00D25004" w:rsidRPr="0044143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Compare simple and advanced friction models.</w:t>
      </w:r>
    </w:p>
    <w:p w14:paraId="39808ED3" w14:textId="77777777" w:rsidR="00D25004" w:rsidRPr="0044143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Investigate whether a data-driven neural network can improve prediction accuracy beyond classical friction models.</w:t>
      </w:r>
    </w:p>
    <w:p w14:paraId="13F3F52B" w14:textId="77777777" w:rsidR="00D25004" w:rsidRPr="0044143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Analyze the trade-off between physical interpretability and predictive performance.</w:t>
      </w:r>
    </w:p>
    <w:p w14:paraId="11113529" w14:textId="77777777" w:rsidR="00D25004" w:rsidRPr="00441438" w:rsidRDefault="00000000">
      <w:p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pict w14:anchorId="2600D7CF">
          <v:rect id="_x0000_i1217" style="width:0;height:1.5pt" o:hralign="center" o:hrstd="t" o:hr="t"/>
        </w:pict>
      </w:r>
    </w:p>
    <w:p w14:paraId="5C3124C2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experimental-data"/>
      <w:bookmarkEnd w:id="1"/>
      <w:r w:rsidRPr="00441438">
        <w:rPr>
          <w:rFonts w:ascii="Times New Roman" w:hAnsi="Times New Roman" w:cs="Times New Roman"/>
          <w:color w:val="000000" w:themeColor="text1"/>
        </w:rPr>
        <w:t>2. Experimental Data</w:t>
      </w:r>
    </w:p>
    <w:p w14:paraId="645C0F86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Experimental data were collected from the robot controller at a sampling frequency of 200 Hz (sampling period = 5 ms).</w:t>
      </w:r>
    </w:p>
    <w:p w14:paraId="3ACC7AD8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available measurements are:</w:t>
      </w:r>
    </w:p>
    <w:p w14:paraId="51919146" w14:textId="77777777" w:rsidR="00D25004" w:rsidRPr="0044143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Motor torque (Tm)</w:t>
      </w:r>
    </w:p>
    <w:p w14:paraId="587F1E58" w14:textId="77777777" w:rsidR="00D25004" w:rsidRPr="0044143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Joint torque sensor output (Tj)</w:t>
      </w:r>
    </w:p>
    <w:p w14:paraId="1FBBEFBC" w14:textId="77777777" w:rsidR="00D25004" w:rsidRPr="0044143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Joint velocity (v)</w:t>
      </w:r>
    </w:p>
    <w:p w14:paraId="07E8CA01" w14:textId="77777777" w:rsidR="00D25004" w:rsidRPr="0044143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Joint position (q)</w:t>
      </w:r>
    </w:p>
    <w:p w14:paraId="089A3F84" w14:textId="77777777" w:rsidR="00D25004" w:rsidRPr="0044143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Timestamp</w:t>
      </w:r>
    </w:p>
    <w:p w14:paraId="20835271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Only Joint-1 data were considered in the present study.</w:t>
      </w:r>
    </w:p>
    <w:p w14:paraId="68FE8853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gearbox reduction ratio is:</w:t>
      </w:r>
    </w:p>
    <w:p w14:paraId="07C0B8BD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N = 100</w:t>
      </w:r>
    </w:p>
    <w:p w14:paraId="077BE34F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Joint position and velocity measurements were converted from degrees and degrees/second to radians and radians/second respectively.</w:t>
      </w:r>
    </w:p>
    <w:p w14:paraId="36CC0D77" w14:textId="77777777" w:rsidR="00D25004" w:rsidRPr="00441438" w:rsidRDefault="00000000">
      <w:p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pict w14:anchorId="0963F552">
          <v:rect id="_x0000_i1206" style="width:0;height:1.5pt" o:hralign="center" o:hrstd="t" o:hr="t"/>
        </w:pict>
      </w:r>
    </w:p>
    <w:p w14:paraId="4D2D57CF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residual-torque-computation"/>
      <w:bookmarkEnd w:id="2"/>
      <w:r w:rsidRPr="00441438">
        <w:rPr>
          <w:rFonts w:ascii="Times New Roman" w:hAnsi="Times New Roman" w:cs="Times New Roman"/>
          <w:color w:val="000000" w:themeColor="text1"/>
        </w:rPr>
        <w:t>3. Residual Torque Computation</w:t>
      </w:r>
    </w:p>
    <w:p w14:paraId="5F8E8846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internal friction torque is not directly measurable.</w:t>
      </w:r>
    </w:p>
    <w:p w14:paraId="7A0ECABB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proofErr w:type="gramStart"/>
      <w:r w:rsidRPr="00441438">
        <w:rPr>
          <w:rFonts w:ascii="Times New Roman" w:hAnsi="Times New Roman" w:cs="Times New Roman"/>
          <w:color w:val="000000" w:themeColor="text1"/>
        </w:rPr>
        <w:t>Therefore</w:t>
      </w:r>
      <w:proofErr w:type="gramEnd"/>
      <w:r w:rsidRPr="00441438">
        <w:rPr>
          <w:rFonts w:ascii="Times New Roman" w:hAnsi="Times New Roman" w:cs="Times New Roman"/>
          <w:color w:val="000000" w:themeColor="text1"/>
        </w:rPr>
        <w:t xml:space="preserve"> a residual torque quantity was constructed using the available measurements:</w:t>
      </w:r>
    </w:p>
    <w:p w14:paraId="248457F4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lastRenderedPageBreak/>
        <w:t>Tf = N·Tm − Tj</w:t>
      </w:r>
    </w:p>
    <w:p w14:paraId="042EF466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where:</w:t>
      </w:r>
    </w:p>
    <w:p w14:paraId="1862AED8" w14:textId="77777777" w:rsidR="00D25004" w:rsidRPr="0044143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Tm = measured motor torque</w:t>
      </w:r>
    </w:p>
    <w:p w14:paraId="1CDA5A61" w14:textId="77777777" w:rsidR="00D25004" w:rsidRPr="0044143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Tj = measured joint torque</w:t>
      </w:r>
    </w:p>
    <w:p w14:paraId="7FCA00C5" w14:textId="77777777" w:rsidR="00D25004" w:rsidRPr="0044143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N = gearbox ratio</w:t>
      </w:r>
    </w:p>
    <w:p w14:paraId="038C74FD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This residual torque is treated as the target variable for modelling.</w:t>
      </w:r>
    </w:p>
    <w:p w14:paraId="3E70C548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It is important to note that this quantity is not guaranteed to represent pure friction torque.</w:t>
      </w:r>
    </w:p>
    <w:p w14:paraId="074D3DEA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residual torque may also contain contributions from:</w:t>
      </w:r>
    </w:p>
    <w:p w14:paraId="394CFCEB" w14:textId="77777777" w:rsidR="00D25004" w:rsidRPr="0044143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Inertial effects</w:t>
      </w:r>
    </w:p>
    <w:p w14:paraId="598FA514" w14:textId="77777777" w:rsidR="00D25004" w:rsidRPr="0044143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Gearbox dynamics</w:t>
      </w:r>
    </w:p>
    <w:p w14:paraId="76BCC4B5" w14:textId="77777777" w:rsidR="00D25004" w:rsidRPr="0044143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Compliance</w:t>
      </w:r>
    </w:p>
    <w:p w14:paraId="42D348CB" w14:textId="77777777" w:rsidR="00D25004" w:rsidRPr="0044143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Backlash</w:t>
      </w:r>
    </w:p>
    <w:p w14:paraId="3E9C6318" w14:textId="77777777" w:rsidR="00D25004" w:rsidRPr="0044143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Servo dynamics</w:t>
      </w:r>
    </w:p>
    <w:p w14:paraId="10927746" w14:textId="77777777" w:rsidR="00D25004" w:rsidRPr="0044143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Controller dynamics</w:t>
      </w:r>
    </w:p>
    <w:p w14:paraId="5DF66CF4" w14:textId="77777777" w:rsidR="00D25004" w:rsidRPr="0044143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Measurement noise</w:t>
      </w:r>
    </w:p>
    <w:p w14:paraId="51BEB324" w14:textId="77777777" w:rsidR="00D25004" w:rsidRPr="0044143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Other unmodelled effects</w:t>
      </w:r>
    </w:p>
    <w:p w14:paraId="1BEB5880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proofErr w:type="gramStart"/>
      <w:r w:rsidRPr="00441438">
        <w:rPr>
          <w:rFonts w:ascii="Times New Roman" w:hAnsi="Times New Roman" w:cs="Times New Roman"/>
          <w:color w:val="000000" w:themeColor="text1"/>
        </w:rPr>
        <w:t>Therefore</w:t>
      </w:r>
      <w:proofErr w:type="gramEnd"/>
      <w:r w:rsidRPr="00441438">
        <w:rPr>
          <w:rFonts w:ascii="Times New Roman" w:hAnsi="Times New Roman" w:cs="Times New Roman"/>
          <w:color w:val="000000" w:themeColor="text1"/>
        </w:rPr>
        <w:t xml:space="preserve"> the identified model should be interpreted as a model of the measured residual torque rather than a direct measurement of physical friction.</w:t>
      </w:r>
    </w:p>
    <w:p w14:paraId="2EAEF9F9" w14:textId="77777777" w:rsidR="00D25004" w:rsidRPr="00441438" w:rsidRDefault="00000000">
      <w:p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pict w14:anchorId="5AC70B73">
          <v:rect id="_x0000_i1207" style="width:0;height:1.5pt" o:hralign="center" o:hrstd="t" o:hr="t"/>
        </w:pict>
      </w:r>
    </w:p>
    <w:p w14:paraId="09B88646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data-partitioning-strategy"/>
      <w:bookmarkEnd w:id="3"/>
      <w:r w:rsidRPr="00441438">
        <w:rPr>
          <w:rFonts w:ascii="Times New Roman" w:hAnsi="Times New Roman" w:cs="Times New Roman"/>
          <w:color w:val="000000" w:themeColor="text1"/>
        </w:rPr>
        <w:t>4. Data Partitioning Strategy</w:t>
      </w:r>
    </w:p>
    <w:p w14:paraId="0703E37B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dataset contains approximately 45,000 samples.</w:t>
      </w:r>
    </w:p>
    <w:p w14:paraId="3B3A9411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To avoid information leakage and preserve temporal structure, the data were not randomly shuffled.</w:t>
      </w:r>
    </w:p>
    <w:p w14:paraId="514F145C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Instead, a sequential split was used:</w:t>
      </w:r>
    </w:p>
    <w:p w14:paraId="61CCF280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 xml:space="preserve">Training </w:t>
      </w:r>
      <w:proofErr w:type="gramStart"/>
      <w:r w:rsidRPr="00441438">
        <w:rPr>
          <w:rFonts w:ascii="Times New Roman" w:hAnsi="Times New Roman" w:cs="Times New Roman"/>
          <w:color w:val="000000" w:themeColor="text1"/>
        </w:rPr>
        <w:t>Set :</w:t>
      </w:r>
      <w:proofErr w:type="gramEnd"/>
      <w:r w:rsidRPr="00441438">
        <w:rPr>
          <w:rFonts w:ascii="Times New Roman" w:hAnsi="Times New Roman" w:cs="Times New Roman"/>
          <w:color w:val="000000" w:themeColor="text1"/>
        </w:rPr>
        <w:t xml:space="preserve"> First 60%</w:t>
      </w:r>
    </w:p>
    <w:p w14:paraId="0E7FF39E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 xml:space="preserve">Validation </w:t>
      </w:r>
      <w:proofErr w:type="gramStart"/>
      <w:r w:rsidRPr="00441438">
        <w:rPr>
          <w:rFonts w:ascii="Times New Roman" w:hAnsi="Times New Roman" w:cs="Times New Roman"/>
          <w:color w:val="000000" w:themeColor="text1"/>
        </w:rPr>
        <w:t>Set :</w:t>
      </w:r>
      <w:proofErr w:type="gramEnd"/>
      <w:r w:rsidRPr="00441438">
        <w:rPr>
          <w:rFonts w:ascii="Times New Roman" w:hAnsi="Times New Roman" w:cs="Times New Roman"/>
          <w:color w:val="000000" w:themeColor="text1"/>
        </w:rPr>
        <w:t xml:space="preserve"> Next 20%</w:t>
      </w:r>
    </w:p>
    <w:p w14:paraId="5DB1A314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 xml:space="preserve">Test </w:t>
      </w:r>
      <w:proofErr w:type="gramStart"/>
      <w:r w:rsidRPr="00441438">
        <w:rPr>
          <w:rFonts w:ascii="Times New Roman" w:hAnsi="Times New Roman" w:cs="Times New Roman"/>
          <w:color w:val="000000" w:themeColor="text1"/>
        </w:rPr>
        <w:t>Set :</w:t>
      </w:r>
      <w:proofErr w:type="gramEnd"/>
      <w:r w:rsidRPr="00441438">
        <w:rPr>
          <w:rFonts w:ascii="Times New Roman" w:hAnsi="Times New Roman" w:cs="Times New Roman"/>
          <w:color w:val="000000" w:themeColor="text1"/>
        </w:rPr>
        <w:t xml:space="preserve"> Final 20%</w:t>
      </w:r>
    </w:p>
    <w:p w14:paraId="02CA1654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This strategy evaluates the ability of the model to generalize to future unseen operating conditions.</w:t>
      </w:r>
    </w:p>
    <w:p w14:paraId="1DC742C0" w14:textId="77777777" w:rsidR="00D25004" w:rsidRPr="00441438" w:rsidRDefault="00000000">
      <w:p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pict w14:anchorId="210F319E">
          <v:rect id="_x0000_i1208" style="width:0;height:1.5pt" o:hralign="center" o:hrstd="t" o:hr="t"/>
        </w:pict>
      </w:r>
    </w:p>
    <w:p w14:paraId="00587601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Xc6ceb8844f88bb3983b544f9c811dd9b9e3ada2"/>
      <w:bookmarkEnd w:id="4"/>
      <w:r w:rsidRPr="00441438">
        <w:rPr>
          <w:rFonts w:ascii="Times New Roman" w:hAnsi="Times New Roman" w:cs="Times New Roman"/>
          <w:color w:val="000000" w:themeColor="text1"/>
        </w:rPr>
        <w:lastRenderedPageBreak/>
        <w:t>5. Model 1 – Coulomb and Viscous Friction Model</w:t>
      </w:r>
    </w:p>
    <w:p w14:paraId="5CB3BBF5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first model assumes that the residual torque can be represented using a combination of Coulomb and viscous friction.</w:t>
      </w:r>
    </w:p>
    <w:p w14:paraId="763E9DAA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model is:</w:t>
      </w:r>
    </w:p>
    <w:p w14:paraId="5B336E0E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Tf(v) = Tc·tanh(v/Vs) + Bv·v</w:t>
      </w:r>
    </w:p>
    <w:p w14:paraId="5F11ED1F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where:</w:t>
      </w:r>
    </w:p>
    <w:p w14:paraId="4DC29687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Tc = Coulomb friction coefficient</w:t>
      </w:r>
    </w:p>
    <w:p w14:paraId="3D1591D5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Bv = viscous friction coefficient</w:t>
      </w:r>
    </w:p>
    <w:p w14:paraId="7F887B95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Vs = smoothing velocity</w:t>
      </w:r>
    </w:p>
    <w:p w14:paraId="31F9EFDA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 xml:space="preserve">The hyperbolic tangent function is used instead of the discontinuous </w:t>
      </w:r>
      <w:proofErr w:type="gramStart"/>
      <w:r w:rsidRPr="00441438">
        <w:rPr>
          <w:rFonts w:ascii="Times New Roman" w:hAnsi="Times New Roman" w:cs="Times New Roman"/>
          <w:color w:val="000000" w:themeColor="text1"/>
        </w:rPr>
        <w:t>sign(</w:t>
      </w:r>
      <w:proofErr w:type="gramEnd"/>
      <w:r w:rsidRPr="00441438">
        <w:rPr>
          <w:rFonts w:ascii="Times New Roman" w:hAnsi="Times New Roman" w:cs="Times New Roman"/>
          <w:color w:val="000000" w:themeColor="text1"/>
        </w:rPr>
        <w:t>) function to improve numerical optimization.</w:t>
      </w:r>
    </w:p>
    <w:p w14:paraId="5C734740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Model parameters are estimated by nonlinear least-squares fitting using the training data.</w:t>
      </w:r>
    </w:p>
    <w:p w14:paraId="4D813FE9" w14:textId="77777777" w:rsidR="00D25004" w:rsidRPr="00441438" w:rsidRDefault="00000000">
      <w:p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pict w14:anchorId="5EEF3105">
          <v:rect id="_x0000_i1209" style="width:0;height:1.5pt" o:hralign="center" o:hrstd="t" o:hr="t"/>
        </w:pict>
      </w:r>
    </w:p>
    <w:p w14:paraId="727DA96E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" w:name="model-2-stribeck-friction-model"/>
      <w:bookmarkEnd w:id="5"/>
      <w:r w:rsidRPr="00441438">
        <w:rPr>
          <w:rFonts w:ascii="Times New Roman" w:hAnsi="Times New Roman" w:cs="Times New Roman"/>
          <w:color w:val="000000" w:themeColor="text1"/>
        </w:rPr>
        <w:t>6. Model 2 – Stribeck Friction Model</w:t>
      </w:r>
    </w:p>
    <w:p w14:paraId="59D9CE5B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second model extends the Coulomb-viscous model by introducing the Stribeck effect.</w:t>
      </w:r>
    </w:p>
    <w:p w14:paraId="13CE5A65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model is:</w:t>
      </w:r>
    </w:p>
    <w:p w14:paraId="6E6E864B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 xml:space="preserve">Tf(v) = [Tc + (Ts − Tc) </w:t>
      </w:r>
      <w:proofErr w:type="gramStart"/>
      <w:r w:rsidRPr="00441438">
        <w:rPr>
          <w:rFonts w:ascii="Times New Roman" w:hAnsi="Times New Roman" w:cs="Times New Roman"/>
          <w:color w:val="000000" w:themeColor="text1"/>
        </w:rPr>
        <w:t>exp(-( |</w:t>
      </w:r>
      <w:proofErr w:type="gramEnd"/>
      <w:r w:rsidRPr="00441438">
        <w:rPr>
          <w:rFonts w:ascii="Times New Roman" w:hAnsi="Times New Roman" w:cs="Times New Roman"/>
          <w:color w:val="000000" w:themeColor="text1"/>
        </w:rPr>
        <w:t xml:space="preserve">v| / </w:t>
      </w:r>
      <w:proofErr w:type="gramStart"/>
      <w:r w:rsidRPr="00441438">
        <w:rPr>
          <w:rFonts w:ascii="Times New Roman" w:hAnsi="Times New Roman" w:cs="Times New Roman"/>
          <w:color w:val="000000" w:themeColor="text1"/>
        </w:rPr>
        <w:t>Vs )</w:t>
      </w:r>
      <w:proofErr w:type="gramEnd"/>
      <w:r w:rsidRPr="00441438">
        <w:rPr>
          <w:rFonts w:ascii="Times New Roman" w:hAnsi="Times New Roman" w:cs="Times New Roman"/>
          <w:color w:val="000000" w:themeColor="text1"/>
        </w:rPr>
        <w:t>^α)] tanh(v/ε)</w:t>
      </w:r>
    </w:p>
    <w:p w14:paraId="2122CE87" w14:textId="77777777" w:rsidR="00D25004" w:rsidRPr="00441438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Bv·v</w:t>
      </w:r>
    </w:p>
    <w:p w14:paraId="4F59DE71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where:</w:t>
      </w:r>
    </w:p>
    <w:p w14:paraId="45B7873E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Ts = static friction coefficient</w:t>
      </w:r>
    </w:p>
    <w:p w14:paraId="2CCC2878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Tc = Coulomb friction coefficient</w:t>
      </w:r>
    </w:p>
    <w:p w14:paraId="2F39605B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Bv = viscous coefficient</w:t>
      </w:r>
    </w:p>
    <w:p w14:paraId="473257F4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Vs = Stribeck velocity</w:t>
      </w:r>
    </w:p>
    <w:p w14:paraId="7164FDC2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α = shape factor</w:t>
      </w:r>
    </w:p>
    <w:p w14:paraId="4A67FEAD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Stribeck model captures the reduction in friction as velocity increases from zero and is widely used in robotic friction modelling.</w:t>
      </w:r>
    </w:p>
    <w:p w14:paraId="12A20ECA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Model parameters are estimated using nonlinear least-squares optimization.</w:t>
      </w:r>
    </w:p>
    <w:p w14:paraId="6E1E09FC" w14:textId="77777777" w:rsidR="00D25004" w:rsidRPr="00441438" w:rsidRDefault="00000000">
      <w:p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pict w14:anchorId="1938769E">
          <v:rect id="_x0000_i1210" style="width:0;height:1.5pt" o:hralign="center" o:hrstd="t" o:hr="t"/>
        </w:pict>
      </w:r>
    </w:p>
    <w:p w14:paraId="11720801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" w:name="model-3-grey-box-residual-learning-model"/>
      <w:bookmarkEnd w:id="6"/>
      <w:r w:rsidRPr="00441438">
        <w:rPr>
          <w:rFonts w:ascii="Times New Roman" w:hAnsi="Times New Roman" w:cs="Times New Roman"/>
          <w:color w:val="000000" w:themeColor="text1"/>
        </w:rPr>
        <w:lastRenderedPageBreak/>
        <w:t>7. Model 3 – Grey-Box Residual Learning Model</w:t>
      </w:r>
    </w:p>
    <w:p w14:paraId="5EA9C0CA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Although the Stribeck model captures major friction characteristics, some systematic errors may remain.</w:t>
      </w:r>
    </w:p>
    <w:p w14:paraId="3155E897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To model these effects, a grey-box architecture is introduced.</w:t>
      </w:r>
    </w:p>
    <w:p w14:paraId="47C8AF37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total model is:</w:t>
      </w:r>
    </w:p>
    <w:p w14:paraId="78F699F5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Tf = Tphys + Tnn</w:t>
      </w:r>
    </w:p>
    <w:p w14:paraId="277D4910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where:</w:t>
      </w:r>
    </w:p>
    <w:p w14:paraId="0C68A470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Tphys = Stribeck friction model</w:t>
      </w:r>
    </w:p>
    <w:p w14:paraId="257903F4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Tnn = neural-network correction term</w:t>
      </w:r>
    </w:p>
    <w:p w14:paraId="2E996203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neural network is trained only on the residual error:</w:t>
      </w:r>
    </w:p>
    <w:p w14:paraId="4D51D3AC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Residual = Tf − Tphys</w:t>
      </w:r>
    </w:p>
    <w:p w14:paraId="57324B5E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Input features:</w:t>
      </w:r>
    </w:p>
    <w:p w14:paraId="3F8245D7" w14:textId="77777777" w:rsidR="00D25004" w:rsidRPr="0044143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Joint position (q)</w:t>
      </w:r>
    </w:p>
    <w:p w14:paraId="03BE2A24" w14:textId="77777777" w:rsidR="00D25004" w:rsidRPr="0044143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Joint velocity (v)</w:t>
      </w:r>
    </w:p>
    <w:p w14:paraId="3163632C" w14:textId="77777777" w:rsidR="00D25004" w:rsidRPr="0044143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Motor torque (Tm)</w:t>
      </w:r>
    </w:p>
    <w:p w14:paraId="4CE05C63" w14:textId="77777777" w:rsidR="00D25004" w:rsidRPr="0044143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Joint torque (Tj)</w:t>
      </w:r>
    </w:p>
    <w:p w14:paraId="56450DCB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Output:</w:t>
      </w:r>
    </w:p>
    <w:p w14:paraId="322EF7B1" w14:textId="77777777" w:rsidR="00D25004" w:rsidRPr="00441438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Residual correction torque</w:t>
      </w:r>
    </w:p>
    <w:p w14:paraId="4EE11E10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neural network consists of:</w:t>
      </w:r>
    </w:p>
    <w:p w14:paraId="2D4B20B5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Input Layer → 64 neurons</w:t>
      </w:r>
    </w:p>
    <w:p w14:paraId="363291E0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Hidden Layer → 64 neurons</w:t>
      </w:r>
    </w:p>
    <w:p w14:paraId="4D131B36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Hidden Layer → 32 neurons</w:t>
      </w:r>
    </w:p>
    <w:p w14:paraId="7107C27A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Output Layer → 1 neuron</w:t>
      </w:r>
    </w:p>
    <w:p w14:paraId="51BCB6AF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Tanh activation functions are used in hidden layers.</w:t>
      </w:r>
    </w:p>
    <w:p w14:paraId="4FB934DC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neural network is trained using the Adam optimizer and mean squared error loss.</w:t>
      </w:r>
    </w:p>
    <w:p w14:paraId="0F2DBB3C" w14:textId="77777777" w:rsidR="00D25004" w:rsidRPr="00441438" w:rsidRDefault="00000000">
      <w:p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pict w14:anchorId="262B5129">
          <v:rect id="_x0000_i1211" style="width:0;height:1.5pt" o:hralign="center" o:hrstd="t" o:hr="t"/>
        </w:pict>
      </w:r>
    </w:p>
    <w:p w14:paraId="6874A212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" w:name="performance-metrics"/>
      <w:bookmarkEnd w:id="7"/>
      <w:r w:rsidRPr="00441438">
        <w:rPr>
          <w:rFonts w:ascii="Times New Roman" w:hAnsi="Times New Roman" w:cs="Times New Roman"/>
          <w:color w:val="000000" w:themeColor="text1"/>
        </w:rPr>
        <w:t>8. Performance Metrics</w:t>
      </w:r>
    </w:p>
    <w:p w14:paraId="5D7A6BFF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Three metrics are used to evaluate model performance.</w:t>
      </w:r>
    </w:p>
    <w:p w14:paraId="3C8DFF36" w14:textId="77777777" w:rsidR="00D25004" w:rsidRPr="0044143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" w:name="root-mean-square-error-rmse"/>
      <w:r w:rsidRPr="00441438">
        <w:rPr>
          <w:rFonts w:ascii="Times New Roman" w:hAnsi="Times New Roman" w:cs="Times New Roman"/>
          <w:color w:val="000000" w:themeColor="text1"/>
        </w:rPr>
        <w:lastRenderedPageBreak/>
        <w:t>Root Mean Square Error (RMSE)</w:t>
      </w:r>
    </w:p>
    <w:p w14:paraId="2E8491D6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Measures average prediction error magnitude.</w:t>
      </w:r>
    </w:p>
    <w:p w14:paraId="2EDB82B4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Lower values indicate better performance.</w:t>
      </w:r>
    </w:p>
    <w:p w14:paraId="36320391" w14:textId="77777777" w:rsidR="00D25004" w:rsidRPr="0044143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mean-absolute-error-mae"/>
      <w:bookmarkEnd w:id="9"/>
      <w:r w:rsidRPr="00441438">
        <w:rPr>
          <w:rFonts w:ascii="Times New Roman" w:hAnsi="Times New Roman" w:cs="Times New Roman"/>
          <w:color w:val="000000" w:themeColor="text1"/>
        </w:rPr>
        <w:t>Mean Absolute Error (MAE)</w:t>
      </w:r>
    </w:p>
    <w:p w14:paraId="37BF92CA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Measures average absolute prediction error.</w:t>
      </w:r>
    </w:p>
    <w:p w14:paraId="4B6F234D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Less sensitive to outliers than RMSE.</w:t>
      </w:r>
    </w:p>
    <w:p w14:paraId="01AA2B9A" w14:textId="77777777" w:rsidR="00D25004" w:rsidRPr="00441438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" w:name="coefficient-of-determination-r²"/>
      <w:bookmarkEnd w:id="10"/>
      <w:r w:rsidRPr="00441438">
        <w:rPr>
          <w:rFonts w:ascii="Times New Roman" w:hAnsi="Times New Roman" w:cs="Times New Roman"/>
          <w:color w:val="000000" w:themeColor="text1"/>
        </w:rPr>
        <w:t>Coefficient of Determination (R²)</w:t>
      </w:r>
    </w:p>
    <w:p w14:paraId="78575243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Measures the fraction of variance explained by the model.</w:t>
      </w:r>
    </w:p>
    <w:p w14:paraId="48FBD1B2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R² = 1 indicates perfect prediction.</w:t>
      </w:r>
    </w:p>
    <w:p w14:paraId="7FA87AB1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R² = 0 indicates no predictive capability.</w:t>
      </w:r>
    </w:p>
    <w:p w14:paraId="7D77E11E" w14:textId="77777777" w:rsidR="00D25004" w:rsidRPr="00441438" w:rsidRDefault="00000000">
      <w:p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pict w14:anchorId="66D5497D">
          <v:rect id="_x0000_i1212" style="width:0;height:1.5pt" o:hralign="center" o:hrstd="t" o:hr="t"/>
        </w:pict>
      </w:r>
    </w:p>
    <w:p w14:paraId="7B042FCF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2" w:name="residual-analysis"/>
      <w:bookmarkEnd w:id="8"/>
      <w:bookmarkEnd w:id="11"/>
      <w:r w:rsidRPr="00441438">
        <w:rPr>
          <w:rFonts w:ascii="Times New Roman" w:hAnsi="Times New Roman" w:cs="Times New Roman"/>
          <w:color w:val="000000" w:themeColor="text1"/>
        </w:rPr>
        <w:t>9. Residual Analysis</w:t>
      </w:r>
    </w:p>
    <w:p w14:paraId="6AAB1866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Residual analysis is performed to evaluate model adequacy.</w:t>
      </w:r>
    </w:p>
    <w:p w14:paraId="40D3F92A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Residual = Actual − Predicted</w:t>
      </w:r>
    </w:p>
    <w:p w14:paraId="1F0AA09E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following plots are generated:</w:t>
      </w:r>
    </w:p>
    <w:p w14:paraId="75C09780" w14:textId="77777777" w:rsidR="00D25004" w:rsidRPr="00441438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Actual vs Predicted Torque</w:t>
      </w:r>
    </w:p>
    <w:p w14:paraId="7880FBFD" w14:textId="77777777" w:rsidR="00D25004" w:rsidRPr="00441438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Residual Error vs Sample Number</w:t>
      </w:r>
    </w:p>
    <w:p w14:paraId="075007BC" w14:textId="77777777" w:rsidR="00D25004" w:rsidRPr="00441438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Residual Histogram</w:t>
      </w:r>
    </w:p>
    <w:p w14:paraId="24455D4A" w14:textId="77777777" w:rsidR="00D25004" w:rsidRPr="00441438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Velocity vs Friction Curve</w:t>
      </w:r>
    </w:p>
    <w:p w14:paraId="141896E2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A good model should produce:</w:t>
      </w:r>
    </w:p>
    <w:p w14:paraId="0E611C05" w14:textId="77777777" w:rsidR="00D25004" w:rsidRPr="00441438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Small residual magnitude</w:t>
      </w:r>
    </w:p>
    <w:p w14:paraId="3E7C9CF8" w14:textId="77777777" w:rsidR="00D25004" w:rsidRPr="00441438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Zero-mean residuals</w:t>
      </w:r>
    </w:p>
    <w:p w14:paraId="4D9EB5ED" w14:textId="77777777" w:rsidR="00D25004" w:rsidRPr="00441438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No systematic patterns</w:t>
      </w:r>
    </w:p>
    <w:p w14:paraId="5CB62B26" w14:textId="77777777" w:rsidR="00D25004" w:rsidRPr="00441438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Approximately symmetric residual distribution</w:t>
      </w:r>
    </w:p>
    <w:p w14:paraId="53A239C7" w14:textId="77777777" w:rsidR="00D25004" w:rsidRPr="00441438" w:rsidRDefault="00000000">
      <w:p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pict w14:anchorId="1F713813">
          <v:rect id="_x0000_i1213" style="width:0;height:1.5pt" o:hralign="center" o:hrstd="t" o:hr="t"/>
        </w:pict>
      </w:r>
    </w:p>
    <w:p w14:paraId="118F737E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model-comparison"/>
      <w:bookmarkEnd w:id="12"/>
      <w:r w:rsidRPr="00441438">
        <w:rPr>
          <w:rFonts w:ascii="Times New Roman" w:hAnsi="Times New Roman" w:cs="Times New Roman"/>
          <w:color w:val="000000" w:themeColor="text1"/>
        </w:rPr>
        <w:t>10. Model Comparison</w:t>
      </w:r>
    </w:p>
    <w:p w14:paraId="474E6757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three models are compared using:</w:t>
      </w:r>
    </w:p>
    <w:p w14:paraId="25DF41C9" w14:textId="77777777" w:rsidR="00D25004" w:rsidRPr="0044143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Validation RMSE</w:t>
      </w:r>
    </w:p>
    <w:p w14:paraId="00EB72F2" w14:textId="77777777" w:rsidR="00D25004" w:rsidRPr="0044143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Test RMSE</w:t>
      </w:r>
    </w:p>
    <w:p w14:paraId="63A566DC" w14:textId="77777777" w:rsidR="00D25004" w:rsidRPr="0044143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Validation MAE</w:t>
      </w:r>
    </w:p>
    <w:p w14:paraId="5B67E18F" w14:textId="77777777" w:rsidR="00D25004" w:rsidRPr="0044143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lastRenderedPageBreak/>
        <w:t>Test MAE</w:t>
      </w:r>
    </w:p>
    <w:p w14:paraId="3B4515DF" w14:textId="77777777" w:rsidR="00D25004" w:rsidRPr="0044143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Validation R²</w:t>
      </w:r>
    </w:p>
    <w:p w14:paraId="6464ED91" w14:textId="77777777" w:rsidR="00D25004" w:rsidRPr="0044143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Test R²</w:t>
      </w:r>
    </w:p>
    <w:p w14:paraId="0EFAC08D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comparison allows evaluation of:</w:t>
      </w:r>
    </w:p>
    <w:p w14:paraId="44B991C7" w14:textId="77777777" w:rsidR="00D25004" w:rsidRPr="0044143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Improvement obtained by introducing Stribeck friction.</w:t>
      </w:r>
    </w:p>
    <w:p w14:paraId="1E1A4DBF" w14:textId="77777777" w:rsidR="00D25004" w:rsidRPr="0044143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Improvement obtained by grey-box residual learning.</w:t>
      </w:r>
    </w:p>
    <w:p w14:paraId="722552AE" w14:textId="77777777" w:rsidR="00D25004" w:rsidRPr="0044143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Trade-off between physical interpretability and predictive accuracy.</w:t>
      </w:r>
    </w:p>
    <w:p w14:paraId="1CE1C331" w14:textId="77777777" w:rsidR="00D25004" w:rsidRPr="00441438" w:rsidRDefault="00000000">
      <w:p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pict w14:anchorId="5580E773">
          <v:rect id="_x0000_i1214" style="width:0;height:1.5pt" o:hralign="center" o:hrstd="t" o:hr="t"/>
        </w:pict>
      </w:r>
    </w:p>
    <w:p w14:paraId="1C09EA85" w14:textId="77777777" w:rsidR="00D25004" w:rsidRPr="0044143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4" w:name="expected-outcomes"/>
      <w:bookmarkEnd w:id="13"/>
      <w:r w:rsidRPr="00441438">
        <w:rPr>
          <w:rFonts w:ascii="Times New Roman" w:hAnsi="Times New Roman" w:cs="Times New Roman"/>
          <w:color w:val="000000" w:themeColor="text1"/>
        </w:rPr>
        <w:t>11. Expected Outcomes</w:t>
      </w:r>
    </w:p>
    <w:p w14:paraId="4376C13D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If the Stribeck model significantly improves performance over the Coulomb-viscous model, it indicates the presence of velocity-dependent nonlinear friction effects.</w:t>
      </w:r>
    </w:p>
    <w:p w14:paraId="3DE02198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If the grey-box model further improves prediction accuracy, the residual signal likely contains additional dynamics not captured by conventional friction laws.</w:t>
      </w:r>
    </w:p>
    <w:p w14:paraId="5A75954A" w14:textId="77777777" w:rsidR="00D25004" w:rsidRPr="00441438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These may include:</w:t>
      </w:r>
    </w:p>
    <w:p w14:paraId="6BED2640" w14:textId="77777777" w:rsidR="00D25004" w:rsidRPr="0044143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Gearbox effects</w:t>
      </w:r>
    </w:p>
    <w:p w14:paraId="03E15473" w14:textId="77777777" w:rsidR="00D25004" w:rsidRPr="0044143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Compliance</w:t>
      </w:r>
    </w:p>
    <w:p w14:paraId="7671622B" w14:textId="77777777" w:rsidR="00D25004" w:rsidRPr="0044143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Backlash</w:t>
      </w:r>
    </w:p>
    <w:p w14:paraId="76CFF3C5" w14:textId="77777777" w:rsidR="00D25004" w:rsidRPr="0044143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Servo dynamics</w:t>
      </w:r>
    </w:p>
    <w:p w14:paraId="22C7B8FD" w14:textId="77777777" w:rsidR="00D25004" w:rsidRPr="0044143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Controller dynamics</w:t>
      </w:r>
    </w:p>
    <w:p w14:paraId="63109574" w14:textId="77777777" w:rsidR="00D25004" w:rsidRPr="00441438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Other unmodelled disturbances</w:t>
      </w:r>
    </w:p>
    <w:p w14:paraId="0E42714A" w14:textId="77777777" w:rsidR="00D25004" w:rsidRPr="00441438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441438">
        <w:rPr>
          <w:rFonts w:ascii="Times New Roman" w:hAnsi="Times New Roman" w:cs="Times New Roman"/>
          <w:color w:val="000000" w:themeColor="text1"/>
        </w:rPr>
        <w:t>The final comparison provides insight into how much of the measured residual torque can be explained using classical friction models and how much requires data-driven modelling.</w:t>
      </w:r>
      <w:bookmarkEnd w:id="0"/>
      <w:bookmarkEnd w:id="14"/>
    </w:p>
    <w:sectPr w:rsidR="00D25004" w:rsidRPr="0044143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5483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386D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C50C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02755873">
    <w:abstractNumId w:val="0"/>
  </w:num>
  <w:num w:numId="2" w16cid:durableId="217978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7560569">
    <w:abstractNumId w:val="1"/>
  </w:num>
  <w:num w:numId="4" w16cid:durableId="67508233">
    <w:abstractNumId w:val="1"/>
  </w:num>
  <w:num w:numId="5" w16cid:durableId="786705444">
    <w:abstractNumId w:val="1"/>
  </w:num>
  <w:num w:numId="6" w16cid:durableId="937441655">
    <w:abstractNumId w:val="1"/>
  </w:num>
  <w:num w:numId="7" w16cid:durableId="2109420760">
    <w:abstractNumId w:val="1"/>
  </w:num>
  <w:num w:numId="8" w16cid:durableId="603879278">
    <w:abstractNumId w:val="1"/>
  </w:num>
  <w:num w:numId="9" w16cid:durableId="1099717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86031036">
    <w:abstractNumId w:val="1"/>
  </w:num>
  <w:num w:numId="11" w16cid:durableId="1924802916">
    <w:abstractNumId w:val="1"/>
  </w:num>
  <w:num w:numId="12" w16cid:durableId="40398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3120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004"/>
    <w:rsid w:val="00441438"/>
    <w:rsid w:val="008231DD"/>
    <w:rsid w:val="00D2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4705"/>
  <w15:docId w15:val="{5D710B05-A6EF-47C8-9F2E-5C91D862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904</Words>
  <Characters>5154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Soumyadeep Dey</cp:lastModifiedBy>
  <cp:revision>2</cp:revision>
  <dcterms:created xsi:type="dcterms:W3CDTF">2026-06-17T09:17:00Z</dcterms:created>
  <dcterms:modified xsi:type="dcterms:W3CDTF">2026-06-17T09:26:00Z</dcterms:modified>
</cp:coreProperties>
</file>