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7A6E"/>
          <w:sz w:val="18"/>
          <w:szCs w:val="18"/>
        </w:rPr>
        <w:t xml:space="preserve">LinkedIn Article</w:t>
      </w:r>
    </w:p>
    <w:p>
      <w:pPr>
        <w:pBdr>
          <w:bottom w:val="single" w:color="1A7A6E" w:sz="10" w:space="6"/>
        </w:pBdr>
        <w:spacing w:after="120" w:before="0"/>
      </w:pPr>
      <w:r>
        <w:rPr>
          <w:rFonts w:ascii="Arial" w:cs="Arial" w:eastAsia="Arial" w:hAnsi="Arial"/>
          <w:b/>
          <w:bCs/>
          <w:color w:val="1C2B2A"/>
          <w:sz w:val="40"/>
          <w:szCs w:val="40"/>
        </w:rPr>
        <w:t xml:space="preserve">Why Generic Resumes Fail in the Modern Hiring Market</w:t>
      </w:r>
    </w:p>
    <w:p>
      <w:pPr>
        <w:spacing w:after="200" w:before="100"/>
      </w:pPr>
      <w:r>
        <w:rPr>
          <w:rFonts w:ascii="Arial" w:cs="Arial" w:eastAsia="Arial" w:hAnsi="Arial"/>
          <w:i/>
          <w:iCs/>
          <w:color w:val="555F5E"/>
          <w:sz w:val="19"/>
          <w:szCs w:val="19"/>
        </w:rPr>
        <w:t xml:space="preserve">For workforce professionals, bootcamp instructors, and career coaches working with today's job seekers</w:t>
      </w:r>
    </w:p>
    <w:p>
      <w:pPr>
        <w:spacing w:after="120" w:before="120"/>
      </w:pPr>
      <w:r>
        <w:rPr>
          <w:rFonts w:ascii="Georgia" w:cs="Georgia" w:eastAsia="Georgia" w:hAnsi="Georgia"/>
          <w:b w:val="false"/>
          <w:bCs w:val="false"/>
          <w:i w:val="false"/>
          <w:iCs w:val="false"/>
          <w:color w:val="1C2B2A"/>
          <w:sz w:val="21"/>
          <w:szCs w:val="21"/>
        </w:rPr>
        <w:t xml:space="preserve">Imagine spending weeks polishing a resume — formatting it just right, capturing every relevant experience — then sending it to forty companies and hearing nothing back. No interview requests. No rejections. Just silence.</w:t>
      </w:r>
    </w:p>
    <w:p>
      <w:pPr>
        <w:spacing w:after="120" w:before="120"/>
      </w:pPr>
      <w:r>
        <w:rPr>
          <w:rFonts w:ascii="Georgia" w:cs="Georgia" w:eastAsia="Georgia" w:hAnsi="Georgia"/>
          <w:b w:val="false"/>
          <w:bCs w:val="false"/>
          <w:i w:val="false"/>
          <w:iCs w:val="false"/>
          <w:color w:val="1C2B2A"/>
          <w:sz w:val="21"/>
          <w:szCs w:val="21"/>
        </w:rPr>
        <w:t xml:space="preserve">This is a frustratingly common experience, and the reason is often not the candidate's qualifications. It's the process itself.</w:t>
      </w:r>
    </w:p>
    <w:p>
      <w:pPr>
        <w:spacing w:after="120" w:before="120"/>
      </w:pPr>
      <w:r>
        <w:rPr>
          <w:rFonts w:ascii="Georgia" w:cs="Georgia" w:eastAsia="Georgia" w:hAnsi="Georgia"/>
          <w:b w:val="false"/>
          <w:bCs w:val="false"/>
          <w:i w:val="false"/>
          <w:iCs w:val="false"/>
          <w:color w:val="1C2B2A"/>
          <w:sz w:val="21"/>
          <w:szCs w:val="21"/>
        </w:rPr>
        <w:t xml:space="preserve">The modern hiring system has changed dramatically. If you're a career coach, workforce program director, or bootcamp instructor, understanding how resumes are actually processed today isn't just helpful — it's essential to giving your students and clients a real chance.</w:t>
      </w:r>
    </w:p>
    <w:p>
      <w:pPr>
        <w:spacing w:after="0" w:before="60"/>
      </w:pPr>
      <w:r>
        <w:t xml:space="preserve"/>
      </w:r>
    </w:p>
    <w:p>
      <w:pPr>
        <w:pBdr>
          <w:bottom w:val="single" w:color="1A7A6E" w:sz="6" w:space="3"/>
        </w:pBdr>
        <w:spacing w:after="100" w:before="280"/>
      </w:pPr>
      <w:r>
        <w:rPr>
          <w:rFonts w:ascii="Arial" w:cs="Arial" w:eastAsia="Arial" w:hAnsi="Arial"/>
          <w:b/>
          <w:bCs/>
          <w:color w:val="1A7A6E"/>
          <w:sz w:val="26"/>
          <w:szCs w:val="26"/>
        </w:rPr>
        <w:t xml:space="preserve">The Gatekeeper Nobody Talks About</w:t>
      </w:r>
    </w:p>
    <w:p>
      <w:pPr>
        <w:spacing w:after="120" w:before="120"/>
      </w:pPr>
      <w:r>
        <w:rPr>
          <w:rFonts w:ascii="Georgia" w:cs="Georgia" w:eastAsia="Georgia" w:hAnsi="Georgia"/>
          <w:b w:val="false"/>
          <w:bCs w:val="false"/>
          <w:i w:val="false"/>
          <w:iCs w:val="false"/>
          <w:color w:val="1C2B2A"/>
          <w:sz w:val="21"/>
          <w:szCs w:val="21"/>
        </w:rPr>
        <w:t xml:space="preserve">Before a recruiter reads a single word of a resume, automated software has already made a judgment call.</w:t>
      </w:r>
    </w:p>
    <w:p>
      <w:pPr>
        <w:spacing w:after="120" w:before="120"/>
      </w:pPr>
      <w:r>
        <w:rPr>
          <w:rFonts w:ascii="Georgia" w:cs="Georgia" w:eastAsia="Georgia" w:hAnsi="Georgia"/>
          <w:b w:val="false"/>
          <w:bCs w:val="false"/>
          <w:i w:val="false"/>
          <w:iCs w:val="false"/>
          <w:color w:val="1C2B2A"/>
          <w:sz w:val="21"/>
          <w:szCs w:val="21"/>
        </w:rPr>
        <w:t xml:space="preserve">Applicant Tracking Systems — ATS software — are used by the vast majority of mid-size and large employers to manage application volume. According to research from the U.S. Chamber of Commerce, these systems parse incoming resumes, score them against the job description, and rank candidates before any human review occurs.</w:t>
      </w:r>
    </w:p>
    <w:p>
      <w:pPr>
        <w:spacing w:after="120" w:before="120"/>
      </w:pPr>
      <w:r>
        <w:rPr>
          <w:rFonts w:ascii="Georgia" w:cs="Georgia" w:eastAsia="Georgia" w:hAnsi="Georgia"/>
          <w:b w:val="false"/>
          <w:bCs w:val="false"/>
          <w:i w:val="false"/>
          <w:iCs w:val="false"/>
          <w:color w:val="1C2B2A"/>
          <w:sz w:val="21"/>
          <w:szCs w:val="21"/>
        </w:rPr>
        <w:t xml:space="preserve">SelectSoftware Reviews ATS statistics put adoption among Fortune 500 companies above 98%. And it's not just large corporations — mid-market employers and even some small businesses have adopted ATS platforms to handle the volume of applications that online job boards have made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il" w:color="FFFFFF" w:sz="0"/>
              <w:left w:val="nil" w:color="FFFFFF" w:sz="0"/>
              <w:bottom w:val="nil" w:color="FFFFFF" w:sz="0"/>
              <w:right w:val="nil" w:color="FFFFFF" w:sz="0"/>
            </w:tcBorders>
            <w:shd w:fill="1A7A6E" w:val="clear"/>
            <w:tcMar>
              <w:top w:type="dxa" w:w="0"/>
              <w:left w:type="dxa" w:w="0"/>
              <w:bottom w:type="dxa" w:w="0"/>
              <w:right w:type="dxa" w:w="0"/>
            </w:tcMar>
          </w:tcPr>
          <w:p/>
        </w:tc>
        <w:tc>
          <w:tcPr>
            <w:tcW w:type="dxa" w:w="8640"/>
            <w:tcBorders>
              <w:top w:val="nil" w:color="FFFFFF" w:sz="0"/>
              <w:left w:val="nil" w:color="FFFFFF" w:sz="0"/>
              <w:bottom w:val="nil" w:color="FFFFFF" w:sz="0"/>
              <w:right w:val="nil" w:color="FFFFFF" w:sz="0"/>
            </w:tcBorders>
            <w:shd w:fill="E8F5F3" w:val="clear"/>
            <w:tcMar>
              <w:top w:type="dxa" w:w="160"/>
              <w:left w:type="dxa" w:w="240"/>
              <w:bottom w:type="dxa" w:w="160"/>
              <w:right w:type="dxa" w:w="240"/>
            </w:tcMar>
          </w:tcPr>
          <w:p>
            <w:r>
              <w:rPr>
                <w:rFonts w:ascii="Georgia" w:cs="Georgia" w:eastAsia="Georgia" w:hAnsi="Georgia"/>
                <w:b/>
                <w:bCs/>
                <w:i/>
                <w:iCs/>
                <w:color w:val="145F55"/>
                <w:sz w:val="22"/>
                <w:szCs w:val="22"/>
              </w:rPr>
              <w:t xml:space="preserve">The resume isn't just a document. It's a data file that gets scored, filtered, and ranked before a human ever sees it.</w:t>
            </w:r>
          </w:p>
        </w:tc>
        <w:tc>
          <w:tcPr>
            <w:tcW w:type="dxa" w:w="360"/>
            <w:tcBorders>
              <w:top w:val="nil" w:color="FFFFFF" w:sz="0"/>
              <w:left w:val="nil" w:color="FFFFFF" w:sz="0"/>
              <w:bottom w:val="nil" w:color="FFFFFF" w:sz="0"/>
              <w:right w:val="nil" w:color="FFFFFF" w:sz="0"/>
            </w:tcBorders>
            <w:shd w:fill="E8F5F3" w:val="clear"/>
            <w:tcMar>
              <w:top w:type="dxa" w:w="0"/>
              <w:left w:type="dxa" w:w="0"/>
              <w:bottom w:type="dxa" w:w="0"/>
              <w:right w:type="dxa" w:w="0"/>
            </w:tcMar>
          </w:tcPr>
          <w:p/>
        </w:tc>
      </w:tr>
    </w:tbl>
    <w:p>
      <w:pPr>
        <w:spacing w:after="120" w:before="120"/>
      </w:pPr>
      <w:r>
        <w:rPr>
          <w:rFonts w:ascii="Georgia" w:cs="Georgia" w:eastAsia="Georgia" w:hAnsi="Georgia"/>
          <w:b w:val="false"/>
          <w:bCs w:val="false"/>
          <w:i w:val="false"/>
          <w:iCs w:val="false"/>
          <w:color w:val="1C2B2A"/>
          <w:sz w:val="21"/>
          <w:szCs w:val="21"/>
        </w:rPr>
        <w:t xml:space="preserve">The result: a well-qualified candidate with a generic resume may score low and disappear from the pipeline entirely. Not because they weren't right for the job — but because their resume didn't speak the language the system was listening for.</w:t>
      </w:r>
    </w:p>
    <w:p>
      <w:pPr>
        <w:spacing w:after="0" w:before="60"/>
      </w:pPr>
      <w:r>
        <w:t xml:space="preserve"/>
      </w:r>
    </w:p>
    <w:p>
      <w:pPr>
        <w:pBdr>
          <w:bottom w:val="single" w:color="1A7A6E" w:sz="6" w:space="3"/>
        </w:pBdr>
        <w:spacing w:after="100" w:before="280"/>
      </w:pPr>
      <w:r>
        <w:rPr>
          <w:rFonts w:ascii="Arial" w:cs="Arial" w:eastAsia="Arial" w:hAnsi="Arial"/>
          <w:b/>
          <w:bCs/>
          <w:color w:val="1A7A6E"/>
          <w:sz w:val="26"/>
          <w:szCs w:val="26"/>
        </w:rPr>
        <w:t xml:space="preserve">The 6–7 Second Reality</w:t>
      </w:r>
    </w:p>
    <w:p>
      <w:pPr>
        <w:spacing w:after="120" w:before="120"/>
      </w:pPr>
      <w:r>
        <w:rPr>
          <w:rFonts w:ascii="Georgia" w:cs="Georgia" w:eastAsia="Georgia" w:hAnsi="Georgia"/>
          <w:b w:val="false"/>
          <w:bCs w:val="false"/>
          <w:i w:val="false"/>
          <w:iCs w:val="false"/>
          <w:color w:val="1C2B2A"/>
          <w:sz w:val="21"/>
          <w:szCs w:val="21"/>
        </w:rPr>
        <w:t xml:space="preserve">Let's say a resume clears the ATS filter. What happens next?</w:t>
      </w:r>
    </w:p>
    <w:p>
      <w:pPr>
        <w:spacing w:after="120" w:before="120"/>
      </w:pPr>
      <w:r>
        <w:rPr>
          <w:rFonts w:ascii="Georgia" w:cs="Georgia" w:eastAsia="Georgia" w:hAnsi="Georgia"/>
          <w:b w:val="false"/>
          <w:bCs w:val="false"/>
          <w:i w:val="false"/>
          <w:iCs w:val="false"/>
          <w:color w:val="1C2B2A"/>
          <w:sz w:val="21"/>
          <w:szCs w:val="21"/>
        </w:rPr>
        <w:t xml:space="preserve">TheLadders conducted eye-tracking research on how recruiters actually review resumes. Their findings: recruiters spend an average of 6 to 7 seconds on an initial scan. In that narrow window, they're checking a small number of things — name, current title, current company, previous titles, education, and whether the overall layout is clean.</w:t>
      </w:r>
    </w:p>
    <w:p>
      <w:pPr>
        <w:spacing w:after="120" w:before="120"/>
      </w:pPr>
      <w:r>
        <w:rPr>
          <w:rFonts w:ascii="Georgia" w:cs="Georgia" w:eastAsia="Georgia" w:hAnsi="Georgia"/>
          <w:b w:val="false"/>
          <w:bCs w:val="false"/>
          <w:i w:val="false"/>
          <w:iCs w:val="false"/>
          <w:color w:val="1C2B2A"/>
          <w:sz w:val="21"/>
          <w:szCs w:val="21"/>
        </w:rPr>
        <w:t xml:space="preserve">That's it. That's the window.</w:t>
      </w:r>
    </w:p>
    <w:p>
      <w:pPr>
        <w:spacing w:after="120" w:before="120"/>
      </w:pPr>
      <w:r>
        <w:rPr>
          <w:rFonts w:ascii="Georgia" w:cs="Georgia" w:eastAsia="Georgia" w:hAnsi="Georgia"/>
          <w:b w:val="false"/>
          <w:bCs w:val="false"/>
          <w:i w:val="false"/>
          <w:iCs w:val="false"/>
          <w:color w:val="1C2B2A"/>
          <w:sz w:val="21"/>
          <w:szCs w:val="21"/>
        </w:rPr>
        <w:t xml:space="preserve">What this means for job seekers: the top third of a resume does the heavy lifting. If the professional summary and first job entry don't immediately signal relevance, the resume doesn't get a second look. There's simply not enough time.</w:t>
      </w:r>
    </w:p>
    <w:p>
      <w:pPr>
        <w:spacing w:after="120" w:before="120"/>
      </w:pPr>
      <w:r>
        <w:rPr>
          <w:rFonts w:ascii="Georgia" w:cs="Georgia" w:eastAsia="Georgia" w:hAnsi="Georgia"/>
          <w:b w:val="false"/>
          <w:bCs w:val="false"/>
          <w:i w:val="false"/>
          <w:iCs w:val="false"/>
          <w:color w:val="1C2B2A"/>
          <w:sz w:val="21"/>
          <w:szCs w:val="21"/>
        </w:rPr>
        <w:t xml:space="preserve">A generic resume — one that lists everything a candidate has ever done in roughly the same order for every application — forces the recruiter to do the work of connecting the dots. In 6 to 7 seconds, that's work they won't do.</w:t>
      </w:r>
    </w:p>
    <w:p>
      <w:pPr>
        <w:spacing w:after="0" w:before="60"/>
      </w:pPr>
      <w:r>
        <w:t xml:space="preserve"/>
      </w:r>
    </w:p>
    <w:p>
      <w:pPr>
        <w:pBdr>
          <w:bottom w:val="single" w:color="1A7A6E" w:sz="6" w:space="3"/>
        </w:pBdr>
        <w:spacing w:after="100" w:before="280"/>
      </w:pPr>
      <w:r>
        <w:rPr>
          <w:rFonts w:ascii="Arial" w:cs="Arial" w:eastAsia="Arial" w:hAnsi="Arial"/>
          <w:b/>
          <w:bCs/>
          <w:color w:val="1A7A6E"/>
          <w:sz w:val="26"/>
          <w:szCs w:val="26"/>
        </w:rPr>
        <w:t xml:space="preserve">Quality Over Volume</w:t>
      </w:r>
    </w:p>
    <w:p>
      <w:pPr>
        <w:spacing w:after="120" w:before="120"/>
      </w:pPr>
      <w:r>
        <w:rPr>
          <w:rFonts w:ascii="Georgia" w:cs="Georgia" w:eastAsia="Georgia" w:hAnsi="Georgia"/>
          <w:b w:val="false"/>
          <w:bCs w:val="false"/>
          <w:i w:val="false"/>
          <w:iCs w:val="false"/>
          <w:color w:val="1C2B2A"/>
          <w:sz w:val="21"/>
          <w:szCs w:val="21"/>
        </w:rPr>
        <w:t xml:space="preserve">There's a tempting logic to the "spray and pray" approach: send more applications, get more interviews. In practice, it tends to produce the opposite — a lot of applications that don't move, and a candidate who doesn't understand why.</w:t>
      </w:r>
    </w:p>
    <w:p>
      <w:pPr>
        <w:spacing w:after="120" w:before="120"/>
      </w:pPr>
      <w:r>
        <w:rPr>
          <w:rFonts w:ascii="Georgia" w:cs="Georgia" w:eastAsia="Georgia" w:hAnsi="Georgia"/>
          <w:b w:val="false"/>
          <w:bCs w:val="false"/>
          <w:i w:val="false"/>
          <w:iCs w:val="false"/>
          <w:color w:val="1C2B2A"/>
          <w:sz w:val="21"/>
          <w:szCs w:val="21"/>
        </w:rPr>
        <w:t xml:space="preserve">The University of Arizona Career Center and uConnect's resume guidance both point to the same fundamental principle: a tailored resume — one that mirrors the specific language, priorities, and requirements of a given job posting — consistently outperforms a general resume, even when the general resume is technically stronger.</w:t>
      </w:r>
    </w:p>
    <w:p>
      <w:pPr>
        <w:spacing w:after="120" w:before="120"/>
      </w:pPr>
      <w:r>
        <w:rPr>
          <w:rFonts w:ascii="Georgia" w:cs="Georgia" w:eastAsia="Georgia" w:hAnsi="Georgia"/>
          <w:b w:val="false"/>
          <w:bCs w:val="false"/>
          <w:i w:val="false"/>
          <w:iCs w:val="false"/>
          <w:color w:val="1C2B2A"/>
          <w:sz w:val="21"/>
          <w:szCs w:val="21"/>
        </w:rPr>
        <w:t xml:space="preserve">SHRM's keyword guidance reinforces this: keyword placement and density matter. ATS systems score keyword matches, and those keywords come directly from the job description. If a posting says "project coordination" and the resume says "project management," the match may not register the way the candidate intends.</w:t>
      </w:r>
    </w:p>
    <w:p>
      <w:pPr>
        <w:spacing w:after="120" w:before="120"/>
      </w:pPr>
      <w:r>
        <w:rPr>
          <w:rFonts w:ascii="Georgia" w:cs="Georgia" w:eastAsia="Georgia" w:hAnsi="Georgia"/>
          <w:b w:val="false"/>
          <w:bCs w:val="false"/>
          <w:i w:val="false"/>
          <w:iCs w:val="false"/>
          <w:color w:val="1C2B2A"/>
          <w:sz w:val="21"/>
          <w:szCs w:val="21"/>
        </w:rPr>
        <w:t xml:space="preserve">The University of Kentucky resume guide emphasizes that tailoring isn't just about getting past software — it's about demonstrating to a human reader that you've actually read and understood what they're looking for. Employers notice. It signals care, intentionality, and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gridCol w:w="360"/>
      </w:tblGrid>
      <w:tr>
        <w:tc>
          <w:tcPr>
            <w:tcW w:type="dxa" w:w="360"/>
            <w:tcBorders>
              <w:top w:val="nil" w:color="FFFFFF" w:sz="0"/>
              <w:left w:val="nil" w:color="FFFFFF" w:sz="0"/>
              <w:bottom w:val="nil" w:color="FFFFFF" w:sz="0"/>
              <w:right w:val="nil" w:color="FFFFFF" w:sz="0"/>
            </w:tcBorders>
            <w:shd w:fill="1A7A6E" w:val="clear"/>
            <w:tcMar>
              <w:top w:type="dxa" w:w="0"/>
              <w:left w:type="dxa" w:w="0"/>
              <w:bottom w:type="dxa" w:w="0"/>
              <w:right w:type="dxa" w:w="0"/>
            </w:tcMar>
          </w:tcPr>
          <w:p/>
        </w:tc>
        <w:tc>
          <w:tcPr>
            <w:tcW w:type="dxa" w:w="8640"/>
            <w:tcBorders>
              <w:top w:val="nil" w:color="FFFFFF" w:sz="0"/>
              <w:left w:val="nil" w:color="FFFFFF" w:sz="0"/>
              <w:bottom w:val="nil" w:color="FFFFFF" w:sz="0"/>
              <w:right w:val="nil" w:color="FFFFFF" w:sz="0"/>
            </w:tcBorders>
            <w:shd w:fill="E8F5F3" w:val="clear"/>
            <w:tcMar>
              <w:top w:type="dxa" w:w="160"/>
              <w:left w:type="dxa" w:w="240"/>
              <w:bottom w:type="dxa" w:w="160"/>
              <w:right w:type="dxa" w:w="240"/>
            </w:tcMar>
          </w:tcPr>
          <w:p>
            <w:r>
              <w:rPr>
                <w:rFonts w:ascii="Georgia" w:cs="Georgia" w:eastAsia="Georgia" w:hAnsi="Georgia"/>
                <w:b/>
                <w:bCs/>
                <w:i/>
                <w:iCs/>
                <w:color w:val="145F55"/>
                <w:sz w:val="22"/>
                <w:szCs w:val="22"/>
              </w:rPr>
              <w:t xml:space="preserve">Twenty tailored applications will almost always outperform one hundred generic ones.</w:t>
            </w:r>
          </w:p>
        </w:tc>
        <w:tc>
          <w:tcPr>
            <w:tcW w:type="dxa" w:w="360"/>
            <w:tcBorders>
              <w:top w:val="nil" w:color="FFFFFF" w:sz="0"/>
              <w:left w:val="nil" w:color="FFFFFF" w:sz="0"/>
              <w:bottom w:val="nil" w:color="FFFFFF" w:sz="0"/>
              <w:right w:val="nil" w:color="FFFFFF" w:sz="0"/>
            </w:tcBorders>
            <w:shd w:fill="E8F5F3" w:val="clear"/>
            <w:tcMar>
              <w:top w:type="dxa" w:w="0"/>
              <w:left w:type="dxa" w:w="0"/>
              <w:bottom w:type="dxa" w:w="0"/>
              <w:right w:type="dxa" w:w="0"/>
            </w:tcMar>
          </w:tcPr>
          <w:p/>
        </w:tc>
      </w:tr>
    </w:tbl>
    <w:p>
      <w:pPr>
        <w:spacing w:after="0" w:before="60"/>
      </w:pPr>
      <w:r>
        <w:t xml:space="preserve"/>
      </w:r>
    </w:p>
    <w:p>
      <w:pPr>
        <w:pBdr>
          <w:bottom w:val="single" w:color="1A7A6E" w:sz="6" w:space="3"/>
        </w:pBdr>
        <w:spacing w:after="100" w:before="280"/>
      </w:pPr>
      <w:r>
        <w:rPr>
          <w:rFonts w:ascii="Arial" w:cs="Arial" w:eastAsia="Arial" w:hAnsi="Arial"/>
          <w:b/>
          <w:bCs/>
          <w:color w:val="1A7A6E"/>
          <w:sz w:val="26"/>
          <w:szCs w:val="26"/>
        </w:rPr>
        <w:t xml:space="preserve">How AI Tools Can Help — Responsibly</w:t>
      </w:r>
    </w:p>
    <w:p>
      <w:pPr>
        <w:spacing w:after="120" w:before="120"/>
      </w:pPr>
      <w:r>
        <w:rPr>
          <w:rFonts w:ascii="Georgia" w:cs="Georgia" w:eastAsia="Georgia" w:hAnsi="Georgia"/>
          <w:b w:val="false"/>
          <w:bCs w:val="false"/>
          <w:i w:val="false"/>
          <w:iCs w:val="false"/>
          <w:color w:val="1C2B2A"/>
          <w:sz w:val="21"/>
          <w:szCs w:val="21"/>
        </w:rPr>
        <w:t xml:space="preserve">AI tools have made resume tailoring faster and more accessible than ever. Used thoughtfully, they can help job seekers extract keywords from job postings, identify gaps between their experience and a posting's requirements, and reframe existing language to better match employer expectations.</w:t>
      </w:r>
    </w:p>
    <w:p>
      <w:pPr>
        <w:spacing w:after="120" w:before="120"/>
      </w:pPr>
      <w:r>
        <w:rPr>
          <w:rFonts w:ascii="Georgia" w:cs="Georgia" w:eastAsia="Georgia" w:hAnsi="Georgia"/>
          <w:b w:val="false"/>
          <w:bCs w:val="false"/>
          <w:i w:val="false"/>
          <w:iCs w:val="false"/>
          <w:color w:val="1C2B2A"/>
          <w:sz w:val="21"/>
          <w:szCs w:val="21"/>
        </w:rPr>
        <w:t xml:space="preserve">For job seekers who struggle with writing or who are new to a field, AI-assisted tailoring can level the playing field in real ways. Someone who knows they're qualified for a role but struggles to articulate it in the right language now has a genuine tool to help them communicate more effectively.</w:t>
      </w:r>
    </w:p>
    <w:p>
      <w:pPr>
        <w:spacing w:after="120" w:before="120"/>
      </w:pPr>
      <w:r>
        <w:rPr>
          <w:rFonts w:ascii="Georgia" w:cs="Georgia" w:eastAsia="Georgia" w:hAnsi="Georgia"/>
          <w:b w:val="false"/>
          <w:bCs w:val="false"/>
          <w:i w:val="false"/>
          <w:iCs w:val="false"/>
          <w:color w:val="1C2B2A"/>
          <w:sz w:val="21"/>
          <w:szCs w:val="21"/>
        </w:rPr>
        <w:t xml:space="preserve">That said, there are real guardrails worth teaching:</w:t>
      </w:r>
    </w:p>
    <w:p>
      <w:pPr>
        <w:pStyle w:val="ListParagraph"/>
        <w:numPr>
          <w:ilvl w:val="0"/>
          <w:numId w:val="2"/>
        </w:numPr>
        <w:spacing w:after="60" w:before="60"/>
      </w:pPr>
      <w:r>
        <w:rPr>
          <w:rFonts w:ascii="Georgia" w:cs="Georgia" w:eastAsia="Georgia" w:hAnsi="Georgia"/>
          <w:color w:val="1C2B2A"/>
          <w:sz w:val="21"/>
          <w:szCs w:val="21"/>
        </w:rPr>
        <w:t xml:space="preserve">Tailoring is not fabricating. AI tools should help a candidate say what's true more effectively — not invent experience they don't have.</w:t>
      </w:r>
    </w:p>
    <w:p>
      <w:pPr>
        <w:pStyle w:val="ListParagraph"/>
        <w:numPr>
          <w:ilvl w:val="0"/>
          <w:numId w:val="2"/>
        </w:numPr>
        <w:spacing w:after="60" w:before="60"/>
      </w:pPr>
      <w:r>
        <w:rPr>
          <w:rFonts w:ascii="Georgia" w:cs="Georgia" w:eastAsia="Georgia" w:hAnsi="Georgia"/>
          <w:color w:val="1C2B2A"/>
          <w:sz w:val="21"/>
          <w:szCs w:val="21"/>
        </w:rPr>
        <w:t xml:space="preserve">AI output needs a human review. The best use of AI in resume tailoring is as a starting point, not an endpoint. Candidates should read, edit, and verify everything.</w:t>
      </w:r>
    </w:p>
    <w:p>
      <w:pPr>
        <w:pStyle w:val="ListParagraph"/>
        <w:numPr>
          <w:ilvl w:val="0"/>
          <w:numId w:val="2"/>
        </w:numPr>
        <w:spacing w:after="60" w:before="60"/>
      </w:pPr>
      <w:r>
        <w:rPr>
          <w:rFonts w:ascii="Georgia" w:cs="Georgia" w:eastAsia="Georgia" w:hAnsi="Georgia"/>
          <w:color w:val="1C2B2A"/>
          <w:sz w:val="21"/>
          <w:szCs w:val="21"/>
        </w:rPr>
        <w:t xml:space="preserve">Voice matters. AI-generated text can be generic in its own way. Encourage candidates to personalize the final product so it still sounds like them.</w:t>
      </w:r>
    </w:p>
    <w:p>
      <w:pPr>
        <w:spacing w:after="120" w:before="120"/>
      </w:pPr>
      <w:r>
        <w:rPr>
          <w:rFonts w:ascii="Georgia" w:cs="Georgia" w:eastAsia="Georgia" w:hAnsi="Georgia"/>
          <w:b w:val="false"/>
          <w:bCs w:val="false"/>
          <w:i w:val="false"/>
          <w:iCs w:val="false"/>
          <w:color w:val="1C2B2A"/>
          <w:sz w:val="21"/>
          <w:szCs w:val="21"/>
        </w:rPr>
        <w:t xml:space="preserve">When taught well, AI-assisted tailoring isn't a shortcut — it's a skill. And it's increasingly a skill that employers expect candidates to have developed.</w:t>
      </w:r>
    </w:p>
    <w:p>
      <w:pPr>
        <w:spacing w:after="0" w:before="60"/>
      </w:pPr>
      <w:r>
        <w:t xml:space="preserve"/>
      </w:r>
    </w:p>
    <w:p>
      <w:pPr>
        <w:pBdr>
          <w:bottom w:val="single" w:color="1A7A6E" w:sz="6" w:space="3"/>
        </w:pBdr>
        <w:spacing w:after="100" w:before="280"/>
      </w:pPr>
      <w:r>
        <w:rPr>
          <w:rFonts w:ascii="Arial" w:cs="Arial" w:eastAsia="Arial" w:hAnsi="Arial"/>
          <w:b/>
          <w:bCs/>
          <w:color w:val="1A7A6E"/>
          <w:sz w:val="26"/>
          <w:szCs w:val="26"/>
        </w:rPr>
        <w:t xml:space="preserve">What This Means for Career Coaches and Workforce Programs</w:t>
      </w:r>
    </w:p>
    <w:p>
      <w:pPr>
        <w:spacing w:after="120" w:before="120"/>
      </w:pPr>
      <w:r>
        <w:rPr>
          <w:rFonts w:ascii="Georgia" w:cs="Georgia" w:eastAsia="Georgia" w:hAnsi="Georgia"/>
          <w:b w:val="false"/>
          <w:bCs w:val="false"/>
          <w:i w:val="false"/>
          <w:iCs w:val="false"/>
          <w:color w:val="1C2B2A"/>
          <w:sz w:val="21"/>
          <w:szCs w:val="21"/>
        </w:rPr>
        <w:t xml:space="preserve">If you're running a bootcamp, workforce development program, or career coaching practice, the single highest-impact habit you can build into your curriculum is this: teach tailoring as a standard step, not an optional enhancement.</w:t>
      </w:r>
    </w:p>
    <w:p>
      <w:pPr>
        <w:spacing w:after="120" w:before="120"/>
      </w:pPr>
      <w:r>
        <w:rPr>
          <w:rFonts w:ascii="Georgia" w:cs="Georgia" w:eastAsia="Georgia" w:hAnsi="Georgia"/>
          <w:b w:val="false"/>
          <w:bCs w:val="false"/>
          <w:i w:val="false"/>
          <w:iCs w:val="false"/>
          <w:color w:val="1C2B2A"/>
          <w:sz w:val="21"/>
          <w:szCs w:val="21"/>
        </w:rPr>
        <w:t xml:space="preserve">That means:</w:t>
      </w:r>
    </w:p>
    <w:p>
      <w:pPr>
        <w:pStyle w:val="ListParagraph"/>
        <w:numPr>
          <w:ilvl w:val="0"/>
          <w:numId w:val="2"/>
        </w:numPr>
        <w:spacing w:after="60" w:before="60"/>
      </w:pPr>
      <w:r>
        <w:rPr>
          <w:rFonts w:ascii="Georgia" w:cs="Georgia" w:eastAsia="Georgia" w:hAnsi="Georgia"/>
          <w:color w:val="1C2B2A"/>
          <w:sz w:val="21"/>
          <w:szCs w:val="21"/>
        </w:rPr>
        <w:t xml:space="preserve">Teaching job seekers to read job postings as documents to be analyzed, not just browsed</w:t>
      </w:r>
    </w:p>
    <w:p>
      <w:pPr>
        <w:pStyle w:val="ListParagraph"/>
        <w:numPr>
          <w:ilvl w:val="0"/>
          <w:numId w:val="2"/>
        </w:numPr>
        <w:spacing w:after="60" w:before="60"/>
      </w:pPr>
      <w:r>
        <w:rPr>
          <w:rFonts w:ascii="Georgia" w:cs="Georgia" w:eastAsia="Georgia" w:hAnsi="Georgia"/>
          <w:color w:val="1C2B2A"/>
          <w:sz w:val="21"/>
          <w:szCs w:val="21"/>
        </w:rPr>
        <w:t xml:space="preserve">Building a simple keyword extraction practice into every application session</w:t>
      </w:r>
    </w:p>
    <w:p>
      <w:pPr>
        <w:pStyle w:val="ListParagraph"/>
        <w:numPr>
          <w:ilvl w:val="0"/>
          <w:numId w:val="2"/>
        </w:numPr>
        <w:spacing w:after="60" w:before="60"/>
      </w:pPr>
      <w:r>
        <w:rPr>
          <w:rFonts w:ascii="Georgia" w:cs="Georgia" w:eastAsia="Georgia" w:hAnsi="Georgia"/>
          <w:color w:val="1C2B2A"/>
          <w:sz w:val="21"/>
          <w:szCs w:val="21"/>
        </w:rPr>
        <w:t xml:space="preserve">Helping candidates maintain a "master resume" with all their experience — and then create tailored versions from it</w:t>
      </w:r>
    </w:p>
    <w:p>
      <w:pPr>
        <w:pStyle w:val="ListParagraph"/>
        <w:numPr>
          <w:ilvl w:val="0"/>
          <w:numId w:val="2"/>
        </w:numPr>
        <w:spacing w:after="60" w:before="60"/>
      </w:pPr>
      <w:r>
        <w:rPr>
          <w:rFonts w:ascii="Georgia" w:cs="Georgia" w:eastAsia="Georgia" w:hAnsi="Georgia"/>
          <w:color w:val="1C2B2A"/>
          <w:sz w:val="21"/>
          <w:szCs w:val="21"/>
        </w:rPr>
        <w:t xml:space="preserve">Incorporating AI tools into the process with clear guidance on responsible use</w:t>
      </w:r>
    </w:p>
    <w:p>
      <w:pPr>
        <w:pStyle w:val="ListParagraph"/>
        <w:numPr>
          <w:ilvl w:val="0"/>
          <w:numId w:val="2"/>
        </w:numPr>
        <w:spacing w:after="60" w:before="60"/>
      </w:pPr>
      <w:r>
        <w:rPr>
          <w:rFonts w:ascii="Georgia" w:cs="Georgia" w:eastAsia="Georgia" w:hAnsi="Georgia"/>
          <w:color w:val="1C2B2A"/>
          <w:sz w:val="21"/>
          <w:szCs w:val="21"/>
        </w:rPr>
        <w:t xml:space="preserve">Reframing success metrics from "applications sent" to "applications tailored and quality-submitted"</w:t>
      </w:r>
    </w:p>
    <w:p>
      <w:pPr>
        <w:spacing w:after="120" w:before="120"/>
      </w:pPr>
      <w:r>
        <w:rPr>
          <w:rFonts w:ascii="Georgia" w:cs="Georgia" w:eastAsia="Georgia" w:hAnsi="Georgia"/>
          <w:b w:val="false"/>
          <w:bCs w:val="false"/>
          <w:i w:val="false"/>
          <w:iCs w:val="false"/>
          <w:color w:val="1C2B2A"/>
          <w:sz w:val="21"/>
          <w:szCs w:val="21"/>
        </w:rPr>
        <w:t xml:space="preserve">The hiring system as it exists today rewards candidates who understand how it works. Your job is to make sure the people you serve aren't disadvantaged by a system they didn't know existed.</w:t>
      </w:r>
    </w:p>
    <w:p>
      <w:pPr>
        <w:spacing w:after="0" w:before="60"/>
      </w:pPr>
      <w:r>
        <w:t xml:space="preserve"/>
      </w:r>
    </w:p>
    <w:p>
      <w:pPr>
        <w:pBdr>
          <w:bottom w:val="single" w:color="1A7A6E" w:sz="6" w:space="3"/>
        </w:pBdr>
        <w:spacing w:after="100" w:before="280"/>
      </w:pPr>
      <w:r>
        <w:rPr>
          <w:rFonts w:ascii="Arial" w:cs="Arial" w:eastAsia="Arial" w:hAnsi="Arial"/>
          <w:b/>
          <w:bCs/>
          <w:color w:val="1A7A6E"/>
          <w:sz w:val="26"/>
          <w:szCs w:val="26"/>
        </w:rPr>
        <w:t xml:space="preserve">The Bottom Line</w:t>
      </w:r>
    </w:p>
    <w:p>
      <w:pPr>
        <w:spacing w:after="120" w:before="120"/>
      </w:pPr>
      <w:r>
        <w:rPr>
          <w:rFonts w:ascii="Georgia" w:cs="Georgia" w:eastAsia="Georgia" w:hAnsi="Georgia"/>
          <w:b w:val="false"/>
          <w:bCs w:val="false"/>
          <w:i w:val="false"/>
          <w:iCs w:val="false"/>
          <w:color w:val="1C2B2A"/>
          <w:sz w:val="21"/>
          <w:szCs w:val="21"/>
        </w:rPr>
        <w:t xml:space="preserve">Generic resumes fail not because the candidates behind them aren't qualified, but because a system optimized for volume and efficiency filters on language, not potential.</w:t>
      </w:r>
    </w:p>
    <w:p>
      <w:pPr>
        <w:spacing w:after="120" w:before="120"/>
      </w:pPr>
      <w:r>
        <w:rPr>
          <w:rFonts w:ascii="Georgia" w:cs="Georgia" w:eastAsia="Georgia" w:hAnsi="Georgia"/>
          <w:b w:val="false"/>
          <w:bCs w:val="false"/>
          <w:i w:val="false"/>
          <w:iCs w:val="false"/>
          <w:color w:val="1C2B2A"/>
          <w:sz w:val="21"/>
          <w:szCs w:val="21"/>
        </w:rPr>
        <w:t xml:space="preserve">Teaching resume tailoring — including the practical mechanics of keyword alignment and the responsible use of AI — is one of the most concrete ways workforce professionals can improve outcomes for the people they serve.</w:t>
      </w:r>
    </w:p>
    <w:p>
      <w:pPr>
        <w:spacing w:after="120" w:before="120"/>
      </w:pPr>
      <w:r>
        <w:rPr>
          <w:rFonts w:ascii="Georgia" w:cs="Georgia" w:eastAsia="Georgia" w:hAnsi="Georgia"/>
          <w:b w:val="false"/>
          <w:bCs w:val="false"/>
          <w:i w:val="false"/>
          <w:iCs w:val="false"/>
          <w:color w:val="1C2B2A"/>
          <w:sz w:val="21"/>
          <w:szCs w:val="21"/>
        </w:rPr>
        <w:t xml:space="preserve">It's not about gaming the system. It's about helping your candidates speak the language it understands.</w:t>
      </w:r>
    </w:p>
    <w:p>
      <w:pPr>
        <w:spacing w:after="0" w:before="120"/>
      </w:pPr>
      <w:r>
        <w:t xml:space="preserve"/>
      </w:r>
    </w:p>
    <w:p>
      <w:pPr>
        <w:pBdr>
          <w:top w:val="single" w:color="CCCCCC" w:sz="4" w:space="4"/>
        </w:pBdr>
        <w:spacing w:after="0" w:before="80"/>
      </w:pPr>
      <w:r>
        <w:rPr>
          <w:rFonts w:ascii="Arial" w:cs="Arial" w:eastAsia="Arial" w:hAnsi="Arial"/>
          <w:b/>
          <w:bCs/>
          <w:color w:val="555F5E"/>
          <w:sz w:val="17"/>
          <w:szCs w:val="17"/>
        </w:rPr>
        <w:t xml:space="preserve">Sources referenced: </w:t>
      </w:r>
      <w:r>
        <w:rPr>
          <w:rFonts w:ascii="Arial" w:cs="Arial" w:eastAsia="Arial" w:hAnsi="Arial"/>
          <w:color w:val="555F5E"/>
          <w:sz w:val="17"/>
          <w:szCs w:val="17"/>
        </w:rPr>
        <w:t xml:space="preserve">U.S. Chamber of Commerce (ATS) • SelectSoftware Reviews ATS Statistics • TheLadders Eye Tracking Study • University of Arizona Career Center • uConnect Resume Tailoring Guide • SHRM Keyword Guidance • University of Kentucky Resume Guide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2B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286F105BDD214FA81D4A6BFB238CC4" ma:contentTypeVersion="19" ma:contentTypeDescription="Create a new document." ma:contentTypeScope="" ma:versionID="fe64a8a06ac5abb6f1946da17dd894f6">
  <xsd:schema xmlns:xsd="http://www.w3.org/2001/XMLSchema" xmlns:xs="http://www.w3.org/2001/XMLSchema" xmlns:p="http://schemas.microsoft.com/office/2006/metadata/properties" xmlns:ns2="991a20c6-7779-4c7e-8e3a-acf878330878" xmlns:ns3="194603e3-38c2-4ee5-8f94-33c99f98e49d" targetNamespace="http://schemas.microsoft.com/office/2006/metadata/properties" ma:root="true" ma:fieldsID="39ee7167373acdab14387c30e3645137" ns2:_="" ns3:_="">
    <xsd:import namespace="991a20c6-7779-4c7e-8e3a-acf878330878"/>
    <xsd:import namespace="194603e3-38c2-4ee5-8f94-33c99f98e4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SearchProperties" minOccurs="0"/>
                <xsd:element ref="ns3:MediaLengthInSeconds" minOccurs="0"/>
                <xsd:element ref="ns3:Videoinfo"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1a20c6-7779-4c7e-8e3a-acf8783308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7b50ae-e15c-491e-9502-aec67d0a10f6}" ma:internalName="TaxCatchAll" ma:showField="CatchAllData" ma:web="991a20c6-7779-4c7e-8e3a-acf8783308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4603e3-38c2-4ee5-8f94-33c99f98e4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468a54d-6a37-4c52-9176-b0e2c72a8f97"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Videoinfo" ma:index="24" nillable="true" ma:displayName="Video info" ma:format="Dropdown" ma:internalName="Videoinfo">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1a20c6-7779-4c7e-8e3a-acf878330878" xsi:nil="true"/>
    <lcf76f155ced4ddcb4097134ff3c332f xmlns="194603e3-38c2-4ee5-8f94-33c99f98e49d">
      <Terms xmlns="http://schemas.microsoft.com/office/infopath/2007/PartnerControls"/>
    </lcf76f155ced4ddcb4097134ff3c332f>
    <Videoinfo xmlns="194603e3-38c2-4ee5-8f94-33c99f98e49d" xsi:nil="true"/>
  </documentManagement>
</p:properties>
</file>

<file path=customXml/itemProps1.xml><?xml version="1.0" encoding="utf-8"?>
<ds:datastoreItem xmlns:ds="http://schemas.openxmlformats.org/officeDocument/2006/customXml" ds:itemID="{EDA43FA1-C2A4-4E81-ABE4-E974B6F761E5}"/>
</file>

<file path=customXml/itemProps2.xml><?xml version="1.0" encoding="utf-8"?>
<ds:datastoreItem xmlns:ds="http://schemas.openxmlformats.org/officeDocument/2006/customXml" ds:itemID="{599230E1-9131-4E9E-936D-C2D1F4373C00}"/>
</file>

<file path=customXml/itemProps3.xml><?xml version="1.0" encoding="utf-8"?>
<ds:datastoreItem xmlns:ds="http://schemas.openxmlformats.org/officeDocument/2006/customXml" ds:itemID="{30F569B1-AEFC-470F-B511-A89D6C573DA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2026-03-05T15:40:37Z</dcterms:created>
  <dcterms:modified xsi:type="dcterms:W3CDTF">2026-03-05T15:40:37Z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0x010100AD286F105BDD214FA81D4A6BFB238CC4</vt:lpwstr>
  </property>
</Properties>
</file>