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4332" w:val="clear"/>
            <w:tcMar>
              <w:top w:type="dxa" w:w="240"/>
              <w:left w:type="dxa" w:w="340"/>
              <w:bottom w:type="dxa" w:w="240"/>
              <w:right w:type="dxa" w:w="340"/>
            </w:tcMar>
          </w:tcPr>
          <w:p>
            <w:pPr>
              <w:spacing w:after="50" w:before="0"/>
            </w:pPr>
            <w:r>
              <w:rPr>
                <w:rFonts w:ascii="Arial" w:cs="Arial" w:eastAsia="Arial" w:hAnsi="Arial"/>
                <w:b/>
                <w:bCs/>
                <w:color w:val="D8EDDF"/>
                <w:spacing w:val="60"/>
                <w:sz w:val="17"/>
                <w:szCs w:val="17"/>
              </w:rPr>
              <w:t xml:space="preserve">THE CAREER EDGE</w:t>
            </w:r>
          </w:p>
          <w:p>
            <w:pPr>
              <w:spacing w:after="0" w:before="0"/>
            </w:pPr>
            <w:r>
              <w:rPr>
                <w:rFonts w:ascii="Arial" w:cs="Arial" w:eastAsia="Arial" w:hAnsi="Arial"/>
                <w:i/>
                <w:iCs/>
                <w:color w:val="52B788"/>
                <w:sz w:val="19"/>
                <w:szCs w:val="19"/>
              </w:rPr>
              <w:t xml:space="preserve">For Bootcamp Students &amp; Early-Career Professionals  |  Issue: How to Actually Prepare for Interviews</w:t>
            </w:r>
          </w:p>
        </w:tc>
      </w:tr>
    </w:tbl>
    <w:p>
      <w:pPr>
        <w:spacing w:after="0" w:before="180"/>
      </w:pPr>
      <w:r>
        <w:t xml:space="preserve"/>
      </w:r>
    </w:p>
    <w:p>
      <w:pPr>
        <w:spacing w:after="110" w:before="110"/>
      </w:pPr>
      <w:r>
        <w:rPr>
          <w:rFonts w:ascii="Georgia" w:cs="Georgia" w:eastAsia="Georgia" w:hAnsi="Georgia"/>
          <w:color w:val="374151"/>
          <w:sz w:val="21"/>
          <w:szCs w:val="21"/>
        </w:rPr>
        <w:t xml:space="preserve">Most people walk into interviews underprepared — not because they didn't care, but because they prepared the wrong things. They re-read their resume. They thought through what they'd say. They looked up the company.</w:t>
      </w:r>
    </w:p>
    <w:p>
      <w:pPr>
        <w:spacing w:after="110" w:before="110"/>
      </w:pPr>
      <w:r>
        <w:rPr>
          <w:rFonts w:ascii="Georgia" w:cs="Georgia" w:eastAsia="Georgia" w:hAnsi="Georgia"/>
          <w:color w:val="374151"/>
          <w:sz w:val="21"/>
          <w:szCs w:val="21"/>
        </w:rPr>
        <w:t xml:space="preserve">What they didn't do is practice actually answering questions out loud. And that's the gap that costs them.</w:t>
      </w:r>
    </w:p>
    <w:p>
      <w:pPr>
        <w:spacing w:after="50" w:before="240"/>
      </w:pPr>
      <w:r>
        <w:rPr>
          <w:rFonts w:ascii="Arial" w:cs="Arial" w:eastAsia="Arial" w:hAnsi="Arial"/>
          <w:b/>
          <w:bCs/>
          <w:color w:val="2D6A4F"/>
          <w:spacing w:val="40"/>
          <w:sz w:val="17"/>
          <w:szCs w:val="17"/>
        </w:rPr>
        <w:t xml:space="preserve">WHY MOST INTERVIEW MISTAKES ARE PREPARATION MISTAKES</w:t>
      </w:r>
    </w:p>
    <w:p>
      <w:pPr>
        <w:pBdr>
          <w:bottom w:val="single" w:color="D8EDDF" w:sz="5" w:space="3"/>
        </w:pBdr>
        <w:spacing w:after="110" w:before="0"/>
      </w:pPr>
      <w:r>
        <w:rPr>
          <w:rFonts w:ascii="Arial" w:cs="Arial" w:eastAsia="Arial" w:hAnsi="Arial"/>
          <w:b/>
          <w:bCs/>
          <w:color w:val="1B4332"/>
          <w:sz w:val="28"/>
          <w:szCs w:val="28"/>
        </w:rPr>
        <w:t xml:space="preserve">You Know More Than You Think — But Practice Makes It Accessible</w:t>
      </w:r>
    </w:p>
    <w:p>
      <w:pPr>
        <w:spacing w:after="110" w:before="110"/>
      </w:pPr>
      <w:r>
        <w:rPr>
          <w:rFonts w:ascii="Georgia" w:cs="Georgia" w:eastAsia="Georgia" w:hAnsi="Georgia"/>
          <w:color w:val="374151"/>
          <w:sz w:val="21"/>
          <w:szCs w:val="21"/>
        </w:rPr>
        <w:t xml:space="preserve">The U.S. Department of Labor's Interview Skills guide is direct on this: the biggest interview mistakes — rambling, going blank, underselling yourself — are almost entirely caused by insufficient practice, not insufficient experience.</w:t>
      </w:r>
    </w:p>
    <w:p>
      <w:pPr>
        <w:spacing w:after="110" w:before="110"/>
      </w:pPr>
      <w:r>
        <w:rPr>
          <w:rFonts w:ascii="Georgia" w:cs="Georgia" w:eastAsia="Georgia" w:hAnsi="Georgia"/>
          <w:color w:val="374151"/>
          <w:sz w:val="21"/>
          <w:szCs w:val="21"/>
        </w:rPr>
        <w:t xml:space="preserve">Your brain processes a practiced answer differently than an improvised one. When you've told a story out loud five times, you stop focusing on what to say next and start focusing on connecting with the interviewer. That shift is what separates good interviews from great ones.</w:t>
      </w:r>
    </w:p>
    <w:p>
      <w:pPr>
        <w:spacing w:after="50" w:before="240"/>
      </w:pPr>
      <w:r>
        <w:rPr>
          <w:rFonts w:ascii="Arial" w:cs="Arial" w:eastAsia="Arial" w:hAnsi="Arial"/>
          <w:b/>
          <w:bCs/>
          <w:color w:val="2D6A4F"/>
          <w:spacing w:val="40"/>
          <w:sz w:val="17"/>
          <w:szCs w:val="17"/>
        </w:rPr>
        <w:t xml:space="preserve">BUILD YOUR STORY BANK</w:t>
      </w:r>
    </w:p>
    <w:p>
      <w:pPr>
        <w:pBdr>
          <w:bottom w:val="single" w:color="D8EDDF" w:sz="5" w:space="3"/>
        </w:pBdr>
        <w:spacing w:after="110" w:before="0"/>
      </w:pPr>
      <w:r>
        <w:rPr>
          <w:rFonts w:ascii="Arial" w:cs="Arial" w:eastAsia="Arial" w:hAnsi="Arial"/>
          <w:b/>
          <w:bCs/>
          <w:color w:val="1B4332"/>
          <w:sz w:val="28"/>
          <w:szCs w:val="28"/>
        </w:rPr>
        <w:t xml:space="preserve">Five Stories That Answer Most Behavioral Questions</w:t>
      </w:r>
    </w:p>
    <w:p>
      <w:pPr>
        <w:spacing w:after="110" w:before="110"/>
      </w:pPr>
      <w:r>
        <w:rPr>
          <w:rFonts w:ascii="Georgia" w:cs="Georgia" w:eastAsia="Georgia" w:hAnsi="Georgia"/>
          <w:color w:val="374151"/>
          <w:sz w:val="21"/>
          <w:szCs w:val="21"/>
        </w:rPr>
        <w:t xml:space="preserve">You don't need a different answer for every question. You need 5–7 solid stories that you can adapt on the fly. Before your next interview, build one story for each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9F5EF" w:val="clear"/>
            <w:tcMar>
              <w:top w:type="dxa" w:w="160"/>
              <w:left w:type="dxa" w:w="220"/>
              <w:bottom w:type="dxa" w:w="160"/>
              <w:right w:type="dxa" w:w="220"/>
            </w:tcMar>
          </w:tcPr>
          <w:p>
            <w:pPr>
              <w:pStyle w:val="ListParagraph"/>
              <w:numPr>
                <w:ilvl w:val="0"/>
                <w:numId w:val="2"/>
              </w:numPr>
              <w:spacing w:after="50" w:before="50"/>
            </w:pPr>
            <w:r>
              <w:rPr>
                <w:rFonts w:ascii="Arial" w:cs="Arial" w:eastAsia="Arial" w:hAnsi="Arial"/>
                <w:color w:val="374151"/>
                <w:sz w:val="20"/>
                <w:szCs w:val="20"/>
              </w:rPr>
              <w:t xml:space="preserve">A problem you solved — especially under pressure or with limited resources</w:t>
            </w:r>
          </w:p>
          <w:p>
            <w:pPr>
              <w:pStyle w:val="ListParagraph"/>
              <w:numPr>
                <w:ilvl w:val="0"/>
                <w:numId w:val="2"/>
              </w:numPr>
              <w:spacing w:after="50" w:before="50"/>
            </w:pPr>
            <w:r>
              <w:rPr>
                <w:rFonts w:ascii="Arial" w:cs="Arial" w:eastAsia="Arial" w:hAnsi="Arial"/>
                <w:color w:val="374151"/>
                <w:sz w:val="20"/>
                <w:szCs w:val="20"/>
              </w:rPr>
              <w:t xml:space="preserve">A conflict or disagreement you worked through on a team</w:t>
            </w:r>
          </w:p>
          <w:p>
            <w:pPr>
              <w:pStyle w:val="ListParagraph"/>
              <w:numPr>
                <w:ilvl w:val="0"/>
                <w:numId w:val="2"/>
              </w:numPr>
              <w:spacing w:after="50" w:before="50"/>
            </w:pPr>
            <w:r>
              <w:rPr>
                <w:rFonts w:ascii="Arial" w:cs="Arial" w:eastAsia="Arial" w:hAnsi="Arial"/>
                <w:color w:val="374151"/>
                <w:sz w:val="20"/>
                <w:szCs w:val="20"/>
              </w:rPr>
              <w:t xml:space="preserve">A time you learned something new quickly — on your own or under a deadline</w:t>
            </w:r>
          </w:p>
          <w:p>
            <w:pPr>
              <w:pStyle w:val="ListParagraph"/>
              <w:numPr>
                <w:ilvl w:val="0"/>
                <w:numId w:val="2"/>
              </w:numPr>
              <w:spacing w:after="50" w:before="50"/>
            </w:pPr>
            <w:r>
              <w:rPr>
                <w:rFonts w:ascii="Arial" w:cs="Arial" w:eastAsia="Arial" w:hAnsi="Arial"/>
                <w:color w:val="374151"/>
                <w:sz w:val="20"/>
                <w:szCs w:val="20"/>
              </w:rPr>
              <w:t xml:space="preserve">A mistake you made and what you did about it</w:t>
            </w:r>
          </w:p>
          <w:p>
            <w:pPr>
              <w:pStyle w:val="ListParagraph"/>
              <w:numPr>
                <w:ilvl w:val="0"/>
                <w:numId w:val="2"/>
              </w:numPr>
              <w:spacing w:after="50" w:before="50"/>
            </w:pPr>
            <w:r>
              <w:rPr>
                <w:rFonts w:ascii="Arial" w:cs="Arial" w:eastAsia="Arial" w:hAnsi="Arial"/>
                <w:color w:val="374151"/>
                <w:sz w:val="20"/>
                <w:szCs w:val="20"/>
              </w:rPr>
              <w:t xml:space="preserve">A time you took initiative or helped improve something without being asked</w:t>
            </w:r>
          </w:p>
        </w:tc>
      </w:tr>
    </w:tbl>
    <w:p>
      <w:pPr>
        <w:spacing w:after="110" w:before="110"/>
      </w:pPr>
      <w:r>
        <w:rPr>
          <w:rFonts w:ascii="Georgia" w:cs="Georgia" w:eastAsia="Georgia" w:hAnsi="Georgia"/>
          <w:color w:val="374151"/>
          <w:sz w:val="21"/>
          <w:szCs w:val="21"/>
        </w:rPr>
        <w:t xml:space="preserve">Structure each one using STAR: </w:t>
      </w:r>
      <w:r>
        <w:rPr>
          <w:rFonts w:ascii="Georgia" w:cs="Georgia" w:eastAsia="Georgia" w:hAnsi="Georgia"/>
          <w:b/>
          <w:bCs/>
          <w:color w:val="2D6A4F"/>
          <w:sz w:val="21"/>
          <w:szCs w:val="21"/>
        </w:rPr>
        <w:t xml:space="preserve">Situation</w:t>
      </w:r>
      <w:r>
        <w:rPr>
          <w:rFonts w:ascii="Georgia" w:cs="Georgia" w:eastAsia="Georgia" w:hAnsi="Georgia"/>
          <w:color w:val="374151"/>
          <w:sz w:val="21"/>
          <w:szCs w:val="21"/>
        </w:rPr>
        <w:t xml:space="preserve"> → </w:t>
      </w:r>
      <w:r>
        <w:rPr>
          <w:rFonts w:ascii="Georgia" w:cs="Georgia" w:eastAsia="Georgia" w:hAnsi="Georgia"/>
          <w:b/>
          <w:bCs/>
          <w:color w:val="2D6A4F"/>
          <w:sz w:val="21"/>
          <w:szCs w:val="21"/>
        </w:rPr>
        <w:t xml:space="preserve">Task</w:t>
      </w:r>
      <w:r>
        <w:rPr>
          <w:rFonts w:ascii="Georgia" w:cs="Georgia" w:eastAsia="Georgia" w:hAnsi="Georgia"/>
          <w:color w:val="374151"/>
          <w:sz w:val="21"/>
          <w:szCs w:val="21"/>
        </w:rPr>
        <w:t xml:space="preserve"> → </w:t>
      </w:r>
      <w:r>
        <w:rPr>
          <w:rFonts w:ascii="Georgia" w:cs="Georgia" w:eastAsia="Georgia" w:hAnsi="Georgia"/>
          <w:b/>
          <w:bCs/>
          <w:color w:val="2D6A4F"/>
          <w:sz w:val="21"/>
          <w:szCs w:val="21"/>
        </w:rPr>
        <w:t xml:space="preserve">Action</w:t>
      </w:r>
      <w:r>
        <w:rPr>
          <w:rFonts w:ascii="Georgia" w:cs="Georgia" w:eastAsia="Georgia" w:hAnsi="Georgia"/>
          <w:color w:val="374151"/>
          <w:sz w:val="21"/>
          <w:szCs w:val="21"/>
        </w:rPr>
        <w:t xml:space="preserve"> → </w:t>
      </w:r>
      <w:r>
        <w:rPr>
          <w:rFonts w:ascii="Georgia" w:cs="Georgia" w:eastAsia="Georgia" w:hAnsi="Georgia"/>
          <w:b/>
          <w:bCs/>
          <w:color w:val="2D6A4F"/>
          <w:sz w:val="21"/>
          <w:szCs w:val="21"/>
        </w:rPr>
        <w:t xml:space="preserve">Result.</w:t>
      </w:r>
      <w:r>
        <w:rPr>
          <w:rFonts w:ascii="Georgia" w:cs="Georgia" w:eastAsia="Georgia" w:hAnsi="Georgia"/>
          <w:color w:val="374151"/>
          <w:sz w:val="21"/>
          <w:szCs w:val="21"/>
        </w:rPr>
        <w:t xml:space="preserve"> Keep S and T brief. Put most of your time into what </w:t>
      </w:r>
      <w:r>
        <w:rPr>
          <w:rFonts w:ascii="Georgia" w:cs="Georgia" w:eastAsia="Georgia" w:hAnsi="Georgia"/>
          <w:i/>
          <w:iCs/>
          <w:color w:val="374151"/>
          <w:sz w:val="21"/>
          <w:szCs w:val="21"/>
        </w:rPr>
        <w:t xml:space="preserve">you</w:t>
      </w:r>
      <w:r>
        <w:rPr>
          <w:rFonts w:ascii="Georgia" w:cs="Georgia" w:eastAsia="Georgia" w:hAnsi="Georgia"/>
          <w:color w:val="374151"/>
          <w:sz w:val="21"/>
          <w:szCs w:val="21"/>
        </w:rPr>
        <w:t xml:space="preserve"> did and what happened because of it.</w:t>
      </w:r>
    </w:p>
    <w:p>
      <w:pPr>
        <w:spacing w:after="50" w:before="240"/>
      </w:pPr>
      <w:r>
        <w:rPr>
          <w:rFonts w:ascii="Arial" w:cs="Arial" w:eastAsia="Arial" w:hAnsi="Arial"/>
          <w:b/>
          <w:bCs/>
          <w:color w:val="2D6A4F"/>
          <w:spacing w:val="40"/>
          <w:sz w:val="17"/>
          <w:szCs w:val="17"/>
        </w:rPr>
        <w:t xml:space="preserve">THE HARD QUESTIONS</w:t>
      </w:r>
    </w:p>
    <w:p>
      <w:pPr>
        <w:pBdr>
          <w:bottom w:val="single" w:color="D8EDDF" w:sz="5" w:space="3"/>
        </w:pBdr>
        <w:spacing w:after="110" w:before="0"/>
      </w:pPr>
      <w:r>
        <w:rPr>
          <w:rFonts w:ascii="Arial" w:cs="Arial" w:eastAsia="Arial" w:hAnsi="Arial"/>
          <w:b/>
          <w:bCs/>
          <w:color w:val="1B4332"/>
          <w:sz w:val="28"/>
          <w:szCs w:val="28"/>
        </w:rPr>
        <w:t xml:space="preserve">Gaps, Weaknesses, and Mistakes</w:t>
      </w:r>
    </w:p>
    <w:p>
      <w:pPr>
        <w:spacing w:after="110" w:before="110"/>
      </w:pPr>
      <w:r>
        <w:rPr>
          <w:rFonts w:ascii="Georgia" w:cs="Georgia" w:eastAsia="Georgia" w:hAnsi="Georgia"/>
          <w:color w:val="374151"/>
          <w:sz w:val="21"/>
          <w:szCs w:val="21"/>
        </w:rPr>
        <w:t xml:space="preserve">These questions feel like traps but aren't — as long as you answer them directly and briefly.</w:t>
      </w:r>
    </w:p>
    <w:p>
      <w:pPr>
        <w:spacing w:after="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il" w:color="FFFFFF" w:sz="0"/>
              <w:left w:val="single" w:color="2D6A4F" w:sz="14"/>
              <w:bottom w:val="nil" w:color="FFFFFF" w:sz="0"/>
              <w:right w:val="nil" w:color="FFFFFF" w:sz="0"/>
            </w:tcBorders>
            <w:shd w:fill="E9F5EF" w:val="clear"/>
            <w:tcMar>
              <w:top w:type="dxa" w:w="120"/>
              <w:left w:type="dxa" w:w="220"/>
              <w:bottom w:type="dxa" w:w="120"/>
              <w:right w:type="dxa" w:w="220"/>
            </w:tcMar>
          </w:tcPr>
          <w:p>
            <w:pPr>
              <w:spacing w:after="45" w:before="0"/>
            </w:pPr>
            <w:r>
              <w:rPr>
                <w:rFonts w:ascii="Arial" w:cs="Arial" w:eastAsia="Arial" w:hAnsi="Arial"/>
                <w:b/>
                <w:bCs/>
                <w:color w:val="2D6A4F"/>
                <w:sz w:val="19"/>
                <w:szCs w:val="19"/>
              </w:rPr>
              <w:t xml:space="preserve">Employment gap:</w:t>
            </w:r>
          </w:p>
          <w:p>
            <w:pPr>
              <w:spacing w:after="0" w:before="0"/>
            </w:pPr>
            <w:r>
              <w:rPr>
                <w:rFonts w:ascii="Georgia" w:cs="Georgia" w:eastAsia="Georgia" w:hAnsi="Georgia"/>
                <w:i/>
                <w:iCs/>
                <w:color w:val="1B4332"/>
                <w:sz w:val="21"/>
                <w:szCs w:val="21"/>
              </w:rPr>
              <w:t xml:space="preserve">"I took time to [care for family / address a health matter / complete training]. During that period I also [course / project / certification]. I'm ready to contribute fully now."</w:t>
            </w:r>
          </w:p>
        </w:tc>
      </w:tr>
    </w:tbl>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il" w:color="FFFFFF" w:sz="0"/>
              <w:left w:val="single" w:color="2D6A4F" w:sz="14"/>
              <w:bottom w:val="nil" w:color="FFFFFF" w:sz="0"/>
              <w:right w:val="nil" w:color="FFFFFF" w:sz="0"/>
            </w:tcBorders>
            <w:shd w:fill="E9F5EF" w:val="clear"/>
            <w:tcMar>
              <w:top w:type="dxa" w:w="120"/>
              <w:left w:type="dxa" w:w="220"/>
              <w:bottom w:type="dxa" w:w="120"/>
              <w:right w:type="dxa" w:w="220"/>
            </w:tcMar>
          </w:tcPr>
          <w:p>
            <w:pPr>
              <w:spacing w:after="45" w:before="0"/>
            </w:pPr>
            <w:r>
              <w:rPr>
                <w:rFonts w:ascii="Arial" w:cs="Arial" w:eastAsia="Arial" w:hAnsi="Arial"/>
                <w:b/>
                <w:bCs/>
                <w:color w:val="2D6A4F"/>
                <w:sz w:val="19"/>
                <w:szCs w:val="19"/>
              </w:rPr>
              <w:t xml:space="preserve">Weakness:</w:t>
            </w:r>
          </w:p>
          <w:p>
            <w:pPr>
              <w:spacing w:after="0" w:before="0"/>
            </w:pPr>
            <w:r>
              <w:rPr>
                <w:rFonts w:ascii="Georgia" w:cs="Georgia" w:eastAsia="Georgia" w:hAnsi="Georgia"/>
                <w:i/>
                <w:iCs/>
                <w:color w:val="1B4332"/>
                <w:sz w:val="21"/>
                <w:szCs w:val="21"/>
              </w:rPr>
              <w:t xml:space="preserve">"I used to struggle with [X]. I've been working on it by [specific action], and I've seen real progress."</w:t>
            </w:r>
          </w:p>
        </w:tc>
      </w:tr>
    </w:tbl>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il" w:color="FFFFFF" w:sz="0"/>
              <w:left w:val="single" w:color="2D6A4F" w:sz="14"/>
              <w:bottom w:val="nil" w:color="FFFFFF" w:sz="0"/>
              <w:right w:val="nil" w:color="FFFFFF" w:sz="0"/>
            </w:tcBorders>
            <w:shd w:fill="E9F5EF" w:val="clear"/>
            <w:tcMar>
              <w:top w:type="dxa" w:w="120"/>
              <w:left w:type="dxa" w:w="220"/>
              <w:bottom w:type="dxa" w:w="120"/>
              <w:right w:type="dxa" w:w="220"/>
            </w:tcMar>
          </w:tcPr>
          <w:p>
            <w:pPr>
              <w:spacing w:after="45" w:before="0"/>
            </w:pPr>
            <w:r>
              <w:rPr>
                <w:rFonts w:ascii="Arial" w:cs="Arial" w:eastAsia="Arial" w:hAnsi="Arial"/>
                <w:b/>
                <w:bCs/>
                <w:color w:val="2D6A4F"/>
                <w:sz w:val="19"/>
                <w:szCs w:val="19"/>
              </w:rPr>
              <w:t xml:space="preserve">Career pivot:</w:t>
            </w:r>
          </w:p>
          <w:p>
            <w:pPr>
              <w:spacing w:after="0" w:before="0"/>
            </w:pPr>
            <w:r>
              <w:rPr>
                <w:rFonts w:ascii="Georgia" w:cs="Georgia" w:eastAsia="Georgia" w:hAnsi="Georgia"/>
                <w:i/>
                <w:iCs/>
                <w:color w:val="1B4332"/>
                <w:sz w:val="21"/>
                <w:szCs w:val="21"/>
              </w:rPr>
              <w:t xml:space="preserve">"My background in [previous field] gave me a strong foundation in [transferable skill]. I've spent the past [time] building on that with [bootcamp/cert/project], and I'm excited to bring both together in this role."</w:t>
            </w:r>
          </w:p>
        </w:tc>
      </w:tr>
    </w:tbl>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il" w:color="FFFFFF" w:sz="0"/>
              <w:left w:val="single" w:color="2D6A4F" w:sz="14"/>
              <w:bottom w:val="nil" w:color="FFFFFF" w:sz="0"/>
              <w:right w:val="nil" w:color="FFFFFF" w:sz="0"/>
            </w:tcBorders>
            <w:shd w:fill="E9F5EF" w:val="clear"/>
            <w:tcMar>
              <w:top w:type="dxa" w:w="120"/>
              <w:left w:type="dxa" w:w="220"/>
              <w:bottom w:type="dxa" w:w="120"/>
              <w:right w:type="dxa" w:w="220"/>
            </w:tcMar>
          </w:tcPr>
          <w:p>
            <w:pPr>
              <w:spacing w:after="45" w:before="0"/>
            </w:pPr>
            <w:r>
              <w:rPr>
                <w:rFonts w:ascii="Arial" w:cs="Arial" w:eastAsia="Arial" w:hAnsi="Arial"/>
                <w:b/>
                <w:bCs/>
                <w:color w:val="2D6A4F"/>
                <w:sz w:val="19"/>
                <w:szCs w:val="19"/>
              </w:rPr>
              <w:t xml:space="preserve">A mistake:</w:t>
            </w:r>
          </w:p>
          <w:p>
            <w:pPr>
              <w:spacing w:after="0" w:before="0"/>
            </w:pPr>
            <w:r>
              <w:rPr>
                <w:rFonts w:ascii="Georgia" w:cs="Georgia" w:eastAsia="Georgia" w:hAnsi="Georgia"/>
                <w:i/>
                <w:iCs/>
                <w:color w:val="1B4332"/>
                <w:sz w:val="21"/>
                <w:szCs w:val="21"/>
              </w:rPr>
              <w:t xml:space="preserve">"I made an error on [situation]. I took responsibility, fixed it by [action], and changed how I approach [X] since then."</w:t>
            </w:r>
          </w:p>
        </w:tc>
      </w:tr>
    </w:tbl>
    <w:p>
      <w:pPr>
        <w:spacing w:after="0" w:before="100"/>
      </w:pPr>
      <w:r>
        <w:t xml:space="preserve"/>
      </w:r>
    </w:p>
    <w:p>
      <w:pPr>
        <w:spacing w:after="110" w:before="110"/>
      </w:pPr>
      <w:r>
        <w:rPr>
          <w:rFonts w:ascii="Georgia" w:cs="Georgia" w:eastAsia="Georgia" w:hAnsi="Georgia"/>
          <w:color w:val="374151"/>
          <w:sz w:val="21"/>
          <w:szCs w:val="21"/>
        </w:rPr>
        <w:t xml:space="preserve">The pattern: own it, contextualize it, show what changed. Interviewers don't expect perfection. They're watching for self-awareness and accountability.</w:t>
      </w:r>
    </w:p>
    <w:p>
      <w:pPr>
        <w:spacing w:after="50" w:before="240"/>
      </w:pPr>
      <w:r>
        <w:rPr>
          <w:rFonts w:ascii="Arial" w:cs="Arial" w:eastAsia="Arial" w:hAnsi="Arial"/>
          <w:b/>
          <w:bCs/>
          <w:color w:val="2D6A4F"/>
          <w:spacing w:val="40"/>
          <w:sz w:val="17"/>
          <w:szCs w:val="17"/>
        </w:rPr>
        <w:t xml:space="preserve">BEFORE YOU WALK IN</w:t>
      </w:r>
    </w:p>
    <w:p>
      <w:pPr>
        <w:pBdr>
          <w:bottom w:val="single" w:color="D8EDDF" w:sz="5" w:space="3"/>
        </w:pBdr>
        <w:spacing w:after="110" w:before="0"/>
      </w:pPr>
      <w:r>
        <w:rPr>
          <w:rFonts w:ascii="Arial" w:cs="Arial" w:eastAsia="Arial" w:hAnsi="Arial"/>
          <w:b/>
          <w:bCs/>
          <w:color w:val="1B4332"/>
          <w:sz w:val="28"/>
          <w:szCs w:val="28"/>
        </w:rPr>
        <w:t xml:space="preserve">Interview Preparation Checklist</w:t>
      </w:r>
    </w:p>
    <w:p>
      <w:pPr>
        <w:spacing w:after="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60"/>
        <w:gridCol w:w="8180"/>
      </w:tblGrid>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Researched the company, team, and the specific role</w:t>
            </w:r>
          </w:p>
        </w:tc>
      </w:tr>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Prepared 5 STAR stories covering the core behavioral topics</w:t>
            </w:r>
          </w:p>
        </w:tc>
      </w:tr>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Practiced answers out loud — not just mentally rehearsed them</w:t>
            </w:r>
          </w:p>
        </w:tc>
      </w:tr>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Prepared 3 thoughtful questions to ask the interviewer</w:t>
            </w:r>
          </w:p>
        </w:tc>
      </w:tr>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Confirmed time, location or video link, and interviewer name</w:t>
            </w:r>
          </w:p>
        </w:tc>
      </w:tr>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Reviewed the job description one more time the night before</w:t>
            </w:r>
          </w:p>
        </w:tc>
      </w:tr>
      <w:tr>
        <w:tc>
          <w:tcPr>
            <w:tcW w:type="dxa" w:w="460"/>
            <w:tcBorders>
              <w:top w:val="nil" w:color="FFFFFF" w:sz="0"/>
              <w:left w:val="nil" w:color="FFFFFF" w:sz="0"/>
              <w:bottom w:val="single" w:color="D8EDDF" w:sz="1"/>
              <w:right w:val="nil" w:color="FFFFFF" w:sz="0"/>
            </w:tcBorders>
            <w:tcMar>
              <w:top w:type="dxa" w:w="90"/>
              <w:left w:type="dxa" w:w="80"/>
              <w:bottom w:type="dxa" w:w="90"/>
              <w:right w:type="dxa" w:w="60"/>
            </w:tcMar>
          </w:tcPr>
          <w:p>
            <w:r>
              <w:rPr>
                <w:rFonts w:ascii="Arial" w:cs="Arial" w:eastAsia="Arial" w:hAnsi="Arial"/>
                <w:color w:val="2D6A4F"/>
                <w:sz w:val="22"/>
                <w:szCs w:val="22"/>
              </w:rPr>
              <w:t xml:space="preserve">☐</w:t>
            </w:r>
          </w:p>
        </w:tc>
        <w:tc>
          <w:tcPr>
            <w:tcW w:type="dxa" w:w="8180"/>
            <w:tcBorders>
              <w:top w:val="nil" w:color="FFFFFF" w:sz="0"/>
              <w:left w:val="nil" w:color="FFFFFF" w:sz="0"/>
              <w:bottom w:val="single" w:color="D8EDDF" w:sz="1"/>
              <w:right w:val="nil" w:color="FFFFFF" w:sz="0"/>
            </w:tcBorders>
            <w:tcMar>
              <w:top w:type="dxa" w:w="90"/>
              <w:left w:type="dxa" w:w="60"/>
              <w:bottom w:type="dxa" w:w="90"/>
              <w:right w:type="dxa" w:w="60"/>
            </w:tcMar>
          </w:tcPr>
          <w:p>
            <w:r>
              <w:rPr>
                <w:rFonts w:ascii="Arial" w:cs="Arial" w:eastAsia="Arial" w:hAnsi="Arial"/>
                <w:color w:val="374151"/>
                <w:sz w:val="19"/>
                <w:szCs w:val="19"/>
              </w:rPr>
              <w:t xml:space="preserve">Planned to arrive or log on 5–10 minutes early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il" w:color="FFFFFF" w:sz="0"/>
              <w:left w:val="nil" w:color="FFFFFF" w:sz="0"/>
              <w:bottom w:val="nil" w:color="FFFFFF" w:sz="0"/>
              <w:right w:val="nil" w:color="FFFFFF" w:sz="0"/>
            </w:tcBorders>
            <w:shd w:fill="2D6A4F" w:val="clear"/>
            <w:tcMar>
              <w:top w:type="dxa" w:w="0"/>
              <w:left w:type="dxa" w:w="0"/>
              <w:bottom w:type="dxa" w:w="0"/>
              <w:right w:type="dxa" w:w="0"/>
            </w:tcMar>
          </w:tcPr>
          <w:p>
            <w:r>
              <w:rPr>
                <w:rFonts w:ascii="Arial" w:cs="Arial" w:eastAsia="Arial" w:hAnsi="Arial"/>
                <w:color w:val="374151"/>
                <w:sz w:val="20"/>
                <w:szCs w:val="20"/>
              </w:rPr>
              <w:t xml:space="preserve"/>
            </w:r>
          </w:p>
        </w:tc>
        <w:tc>
          <w:tcPr>
            <w:tcW w:type="dxa" w:w="9140"/>
            <w:tcBorders>
              <w:top w:val="nil" w:color="FFFFFF" w:sz="0"/>
              <w:left w:val="nil" w:color="FFFFFF" w:sz="0"/>
              <w:bottom w:val="nil" w:color="FFFFFF" w:sz="0"/>
              <w:right w:val="nil" w:color="FFFFFF" w:sz="0"/>
            </w:tcBorders>
            <w:shd w:fill="E9F5EF" w:val="clear"/>
            <w:tcMar>
              <w:top w:type="dxa" w:w="160"/>
              <w:left w:type="dxa" w:w="220"/>
              <w:bottom w:type="dxa" w:w="160"/>
              <w:right w:type="dxa" w:w="220"/>
            </w:tcMar>
          </w:tcPr>
          <w:p>
            <w:pPr>
              <w:spacing w:after="60" w:before="0"/>
            </w:pPr>
            <w:r>
              <w:rPr>
                <w:rFonts w:ascii="Arial" w:cs="Arial" w:eastAsia="Arial" w:hAnsi="Arial"/>
                <w:b/>
                <w:bCs/>
                <w:color w:val="1B4332"/>
                <w:sz w:val="21"/>
                <w:szCs w:val="21"/>
              </w:rPr>
              <w:t xml:space="preserve">The bottom line:</w:t>
            </w:r>
          </w:p>
          <w:p>
            <w:pPr>
              <w:spacing w:after="0" w:before="0"/>
            </w:pPr>
            <w:r>
              <w:rPr>
                <w:rFonts w:ascii="Georgia" w:cs="Georgia" w:eastAsia="Georgia" w:hAnsi="Georgia"/>
                <w:color w:val="374151"/>
                <w:sz w:val="21"/>
                <w:szCs w:val="21"/>
              </w:rPr>
              <w:t xml:space="preserve">Your skills got you to the interview. Your preparation determines what happens next. The candidates who get offers aren't always the most experienced — they're usually the most prepared.</w:t>
            </w:r>
          </w:p>
        </w:tc>
      </w:tr>
    </w:tbl>
    <w:p>
      <w:pPr>
        <w:spacing w:after="0" w:before="140"/>
      </w:pPr>
      <w:r>
        <w:t xml:space="preserve"/>
      </w:r>
    </w:p>
    <w:p>
      <w:pPr>
        <w:pBdr>
          <w:top w:val="single" w:color="D8EDDF" w:sz="4" w:space="3"/>
        </w:pBdr>
        <w:spacing w:after="0" w:before="60"/>
        <w:jc w:val="center"/>
      </w:pPr>
      <w:r>
        <w:rPr>
          <w:rFonts w:ascii="Arial" w:cs="Arial" w:eastAsia="Arial" w:hAnsi="Arial"/>
          <w:i/>
          <w:iCs/>
          <w:color w:val="6B7280"/>
          <w:sz w:val="16"/>
          <w:szCs w:val="16"/>
        </w:rPr>
        <w:t xml:space="preserve">Sources: U.S. DOL Interview Skills Guide (2022)  •  Princeton Career Development  •  Texas A&amp;M Career Center  •  Durham College STAR/SPAR Guide  •  Mac's List  •  Forbes  •  Microsoft Workplace Insights  •  Novorésumé</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280"/>
      </w:pPr>
      <w:rPr>
        <w:b/>
        <w:bCs/>
        <w:color w:val="2D6A4F"/>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286F105BDD214FA81D4A6BFB238CC4" ma:contentTypeVersion="19" ma:contentTypeDescription="Create a new document." ma:contentTypeScope="" ma:versionID="fe64a8a06ac5abb6f1946da17dd894f6">
  <xsd:schema xmlns:xsd="http://www.w3.org/2001/XMLSchema" xmlns:xs="http://www.w3.org/2001/XMLSchema" xmlns:p="http://schemas.microsoft.com/office/2006/metadata/properties" xmlns:ns2="991a20c6-7779-4c7e-8e3a-acf878330878" xmlns:ns3="194603e3-38c2-4ee5-8f94-33c99f98e49d" targetNamespace="http://schemas.microsoft.com/office/2006/metadata/properties" ma:root="true" ma:fieldsID="39ee7167373acdab14387c30e3645137" ns2:_="" ns3:_="">
    <xsd:import namespace="991a20c6-7779-4c7e-8e3a-acf878330878"/>
    <xsd:import namespace="194603e3-38c2-4ee5-8f94-33c99f98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LengthInSeconds" minOccurs="0"/>
                <xsd:element ref="ns3:Videoinfo"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a20c6-7779-4c7e-8e3a-acf8783308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7b50ae-e15c-491e-9502-aec67d0a10f6}" ma:internalName="TaxCatchAll" ma:showField="CatchAllData" ma:web="991a20c6-7779-4c7e-8e3a-acf878330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4603e3-38c2-4ee5-8f94-33c99f98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468a54d-6a37-4c52-9176-b0e2c72a8f9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Videoinfo" ma:index="24" nillable="true" ma:displayName="Video info" ma:format="Dropdown" ma:internalName="Videoinfo">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a20c6-7779-4c7e-8e3a-acf878330878" xsi:nil="true"/>
    <lcf76f155ced4ddcb4097134ff3c332f xmlns="194603e3-38c2-4ee5-8f94-33c99f98e49d">
      <Terms xmlns="http://schemas.microsoft.com/office/infopath/2007/PartnerControls"/>
    </lcf76f155ced4ddcb4097134ff3c332f>
    <Videoinfo xmlns="194603e3-38c2-4ee5-8f94-33c99f98e49d" xsi:nil="true"/>
  </documentManagement>
</p:properties>
</file>

<file path=customXml/itemProps1.xml><?xml version="1.0" encoding="utf-8"?>
<ds:datastoreItem xmlns:ds="http://schemas.openxmlformats.org/officeDocument/2006/customXml" ds:itemID="{DE5B3A8A-F03B-4840-B109-AA1779780C70}"/>
</file>

<file path=customXml/itemProps2.xml><?xml version="1.0" encoding="utf-8"?>
<ds:datastoreItem xmlns:ds="http://schemas.openxmlformats.org/officeDocument/2006/customXml" ds:itemID="{3E37913A-BC80-4EF0-806A-DEBBD0CEABAB}"/>
</file>

<file path=customXml/itemProps3.xml><?xml version="1.0" encoding="utf-8"?>
<ds:datastoreItem xmlns:ds="http://schemas.openxmlformats.org/officeDocument/2006/customXml" ds:itemID="{1FA35301-09F0-4701-B1C6-8996A8F245A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2026-03-05T17:54:36Z</dcterms:created>
  <dcterms:modified xsi:type="dcterms:W3CDTF">2026-03-05T17:54:36Z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0x010100AD286F105BDD214FA81D4A6BFB238CC4</vt:lpwstr>
  </property>
</Properties>
</file>