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5F" w:val="clear"/>
            <w:tcMar>
              <w:top w:type="dxa" w:w="240"/>
              <w:left w:type="dxa" w:w="360"/>
              <w:bottom w:type="dxa" w:w="240"/>
              <w:right w:type="dxa" w:w="360"/>
            </w:tcMar>
          </w:tcPr>
          <w:p>
            <w:pPr>
              <w:spacing w:after="55" w:before="0"/>
            </w:pPr>
            <w:r>
              <w:rPr>
                <w:rFonts w:ascii="Arial" w:cs="Arial" w:eastAsia="Arial" w:hAnsi="Arial"/>
                <w:b/>
                <w:bCs/>
                <w:color w:val="C8DAF5"/>
                <w:spacing w:val="60"/>
                <w:sz w:val="17"/>
                <w:szCs w:val="17"/>
              </w:rPr>
              <w:t xml:space="preserve">THE CAREER EDGE</w:t>
            </w:r>
          </w:p>
          <w:p>
            <w:pPr>
              <w:spacing w:after="0" w:before="0"/>
            </w:pPr>
            <w:r>
              <w:rPr>
                <w:rFonts w:ascii="Arial" w:cs="Arial" w:eastAsia="Arial" w:hAnsi="Arial"/>
                <w:i/>
                <w:iCs/>
                <w:color w:val="4A7CC7"/>
                <w:sz w:val="19"/>
                <w:szCs w:val="19"/>
              </w:rPr>
              <w:t xml:space="preserve">For Bootcamp Students &amp; Early-Career Professionals  |  Issue: Understanding How Hiring Really Works</w:t>
            </w:r>
          </w:p>
        </w:tc>
      </w:tr>
    </w:tbl>
    <w:p>
      <w:pPr>
        <w:spacing w:after="0" w:before="180"/>
      </w:pPr>
      <w:r>
        <w:t xml:space="preserve"/>
      </w:r>
    </w:p>
    <w:p>
      <w:pPr>
        <w:spacing w:after="110" w:before="110"/>
      </w:pPr>
      <w:r>
        <w:rPr>
          <w:rFonts w:ascii="Georgia" w:cs="Georgia" w:eastAsia="Georgia" w:hAnsi="Georgia"/>
          <w:color w:val="374151"/>
          <w:sz w:val="21"/>
          <w:szCs w:val="21"/>
        </w:rPr>
        <w:t xml:space="preserve">If you've been applying for jobs and hearing nothing back, this issue is for you.</w:t>
      </w:r>
    </w:p>
    <w:p>
      <w:pPr>
        <w:spacing w:after="110" w:before="110"/>
      </w:pPr>
      <w:r>
        <w:rPr>
          <w:rFonts w:ascii="Georgia" w:cs="Georgia" w:eastAsia="Georgia" w:hAnsi="Georgia"/>
          <w:color w:val="374151"/>
          <w:sz w:val="21"/>
          <w:szCs w:val="21"/>
        </w:rPr>
        <w:t xml:space="preserve">The silence isn't what it feels like. It's not a verdict on your ability. It's the output of a large, impersonal system — and once you understand how that system works, you can stop taking it personally and start using it more strategically.</w:t>
      </w:r>
    </w:p>
    <w:p>
      <w:pPr>
        <w:spacing w:after="48" w:before="220"/>
      </w:pPr>
      <w:r>
        <w:rPr>
          <w:rFonts w:ascii="Arial" w:cs="Arial" w:eastAsia="Arial" w:hAnsi="Arial"/>
          <w:b/>
          <w:bCs/>
          <w:color w:val="2558A8"/>
          <w:spacing w:val="40"/>
          <w:sz w:val="17"/>
          <w:szCs w:val="17"/>
        </w:rPr>
        <w:t xml:space="preserve">WHY THE PIPELINE IS SO COMPETITIVE</w:t>
      </w:r>
    </w:p>
    <w:p>
      <w:pPr>
        <w:pBdr>
          <w:bottom w:val="single" w:color="C8DAF5" w:sz="5" w:space="3"/>
        </w:pBdr>
        <w:spacing w:after="100" w:before="0"/>
      </w:pPr>
      <w:r>
        <w:rPr>
          <w:rFonts w:ascii="Arial" w:cs="Arial" w:eastAsia="Arial" w:hAnsi="Arial"/>
          <w:b/>
          <w:bCs/>
          <w:color w:val="1E3A5F"/>
          <w:sz w:val="27"/>
          <w:szCs w:val="27"/>
        </w:rPr>
        <w:t xml:space="preserve">The Numbers Are Not What Most People Expect</w:t>
      </w:r>
    </w:p>
    <w:p>
      <w:pPr>
        <w:spacing w:after="110" w:before="110"/>
      </w:pPr>
      <w:r>
        <w:rPr>
          <w:rFonts w:ascii="Georgia" w:cs="Georgia" w:eastAsia="Georgia" w:hAnsi="Georgia"/>
          <w:color w:val="374151"/>
          <w:sz w:val="21"/>
          <w:szCs w:val="21"/>
        </w:rPr>
        <w:t xml:space="preserve">A single entry-level IT or cybersecurity posting can receive hundreds of applications within the first few days. The recruiter reviewing that role is probably managing dozens of other open positions at the same time.</w:t>
      </w:r>
    </w:p>
    <w:p>
      <w:pPr>
        <w:spacing w:after="110" w:before="110"/>
      </w:pPr>
      <w:r>
        <w:rPr>
          <w:rFonts w:ascii="Georgia" w:cs="Georgia" w:eastAsia="Georgia" w:hAnsi="Georgia"/>
          <w:color w:val="374151"/>
          <w:sz w:val="21"/>
          <w:szCs w:val="21"/>
        </w:rPr>
        <w:t xml:space="preserve">That's why most applications don't get individual responses. The math doesn't allow it. Before any human even looks at your resume, Applicant Tracking Software has already scored it — and filtered out a significant percentage of applicants based on keyword matching alone.</w:t>
      </w:r>
    </w:p>
    <w:p>
      <w:pPr>
        <w:spacing w:after="110" w:before="110"/>
      </w:pPr>
      <w:r>
        <w:rPr>
          <w:rFonts w:ascii="Georgia" w:cs="Georgia" w:eastAsia="Georgia" w:hAnsi="Georgia"/>
          <w:color w:val="374151"/>
          <w:sz w:val="21"/>
          <w:szCs w:val="21"/>
        </w:rPr>
        <w:t xml:space="preserve">This means two things: the pipeline is genuinely competitive, and a lot of what determines whether you advance has nothing to do with how good you are. It has to do with how well your materials match what the system is looking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il" w:color="FFFFFF" w:sz="0"/>
              <w:left w:val="nil" w:color="FFFFFF" w:sz="0"/>
              <w:bottom w:val="nil" w:color="FFFFFF" w:sz="0"/>
              <w:right w:val="nil" w:color="FFFFFF" w:sz="0"/>
            </w:tcBorders>
            <w:shd w:fill="2558A8" w:val="clear"/>
            <w:tcMar>
              <w:top w:type="dxa" w:w="0"/>
              <w:left w:type="dxa" w:w="0"/>
              <w:bottom w:type="dxa" w:w="0"/>
              <w:right w:type="dxa" w:w="0"/>
            </w:tcMar>
          </w:tcPr>
          <w:p>
            <w:r>
              <w:rPr>
                <w:rFonts w:ascii="Arial" w:cs="Arial" w:eastAsia="Arial" w:hAnsi="Arial"/>
                <w:color w:val="374151"/>
                <w:sz w:val="20"/>
                <w:szCs w:val="20"/>
              </w:rPr>
              <w:t xml:space="preserve"/>
            </w:r>
          </w:p>
        </w:tc>
        <w:tc>
          <w:tcPr>
            <w:tcW w:type="dxa" w:w="9140"/>
            <w:tcBorders>
              <w:top w:val="nil" w:color="FFFFFF" w:sz="0"/>
              <w:left w:val="nil" w:color="FFFFFF" w:sz="0"/>
              <w:bottom w:val="nil" w:color="FFFFFF" w:sz="0"/>
              <w:right w:val="nil" w:color="FFFFFF" w:sz="0"/>
            </w:tcBorders>
            <w:shd w:fill="EBF2FC" w:val="clear"/>
            <w:tcMar>
              <w:top w:type="dxa" w:w="160"/>
              <w:left w:type="dxa" w:w="220"/>
              <w:bottom w:type="dxa" w:w="160"/>
              <w:right w:type="dxa" w:w="220"/>
            </w:tcMar>
          </w:tcPr>
          <w:p>
            <w:r>
              <w:rPr>
                <w:rFonts w:ascii="Georgia" w:cs="Georgia" w:eastAsia="Georgia" w:hAnsi="Georgia"/>
                <w:b/>
                <w:bCs/>
                <w:i/>
                <w:iCs/>
                <w:color w:val="1E3A5F"/>
                <w:sz w:val="22"/>
                <w:szCs w:val="22"/>
              </w:rPr>
              <w:t xml:space="preserve">Most rejections are system outputs. Very few are assessments of your actual ability.</w:t>
            </w:r>
          </w:p>
        </w:tc>
      </w:tr>
    </w:tbl>
    <w:p>
      <w:pPr>
        <w:spacing w:after="48" w:before="220"/>
      </w:pPr>
      <w:r>
        <w:rPr>
          <w:rFonts w:ascii="Arial" w:cs="Arial" w:eastAsia="Arial" w:hAnsi="Arial"/>
          <w:b/>
          <w:bCs/>
          <w:color w:val="2558A8"/>
          <w:spacing w:val="40"/>
          <w:sz w:val="17"/>
          <w:szCs w:val="17"/>
        </w:rPr>
        <w:t xml:space="preserve">SILENCE AND REJECTION</w:t>
      </w:r>
    </w:p>
    <w:p>
      <w:pPr>
        <w:pBdr>
          <w:bottom w:val="single" w:color="C8DAF5" w:sz="5" w:space="3"/>
        </w:pBdr>
        <w:spacing w:after="100" w:before="0"/>
      </w:pPr>
      <w:r>
        <w:rPr>
          <w:rFonts w:ascii="Arial" w:cs="Arial" w:eastAsia="Arial" w:hAnsi="Arial"/>
          <w:b/>
          <w:bCs/>
          <w:color w:val="1E3A5F"/>
          <w:sz w:val="27"/>
          <w:szCs w:val="27"/>
        </w:rPr>
        <w:t xml:space="preserve">What It Actually Means — and What It Doesn't</w:t>
      </w:r>
    </w:p>
    <w:p>
      <w:pPr>
        <w:spacing w:after="110" w:before="110"/>
      </w:pPr>
      <w:r>
        <w:rPr>
          <w:rFonts w:ascii="Georgia" w:cs="Georgia" w:eastAsia="Georgia" w:hAnsi="Georgia"/>
          <w:color w:val="374151"/>
          <w:sz w:val="21"/>
          <w:szCs w:val="21"/>
        </w:rPr>
        <w:t xml:space="preserve">Here's a short list of reasons a candidate might never hear back that have nothing to do with their qualifications:</w:t>
      </w:r>
    </w:p>
    <w:p>
      <w:pPr>
        <w:pStyle w:val="ListParagraph"/>
        <w:numPr>
          <w:ilvl w:val="0"/>
          <w:numId w:val="2"/>
        </w:numPr>
        <w:spacing w:after="65" w:before="65"/>
      </w:pPr>
      <w:r>
        <w:rPr>
          <w:rFonts w:ascii="Georgia" w:cs="Georgia" w:eastAsia="Georgia" w:hAnsi="Georgia"/>
          <w:color w:val="374151"/>
          <w:sz w:val="21"/>
          <w:szCs w:val="21"/>
        </w:rPr>
        <w:t xml:space="preserve">The ATS scored their resume below the threshold before a recruiter opened it</w:t>
      </w:r>
    </w:p>
    <w:p>
      <w:pPr>
        <w:pStyle w:val="ListParagraph"/>
        <w:numPr>
          <w:ilvl w:val="0"/>
          <w:numId w:val="2"/>
        </w:numPr>
        <w:spacing w:after="65" w:before="65"/>
      </w:pPr>
      <w:r>
        <w:rPr>
          <w:rFonts w:ascii="Georgia" w:cs="Georgia" w:eastAsia="Georgia" w:hAnsi="Georgia"/>
          <w:color w:val="374151"/>
          <w:sz w:val="21"/>
          <w:szCs w:val="21"/>
        </w:rPr>
        <w:t xml:space="preserve">The role was filled internally before the public posting closed</w:t>
      </w:r>
    </w:p>
    <w:p>
      <w:pPr>
        <w:pStyle w:val="ListParagraph"/>
        <w:numPr>
          <w:ilvl w:val="0"/>
          <w:numId w:val="2"/>
        </w:numPr>
        <w:spacing w:after="65" w:before="65"/>
      </w:pPr>
      <w:r>
        <w:rPr>
          <w:rFonts w:ascii="Georgia" w:cs="Georgia" w:eastAsia="Georgia" w:hAnsi="Georgia"/>
          <w:color w:val="374151"/>
          <w:sz w:val="21"/>
          <w:szCs w:val="21"/>
        </w:rPr>
        <w:t xml:space="preserve">A referred candidate was already identified before the application window opened</w:t>
      </w:r>
    </w:p>
    <w:p>
      <w:pPr>
        <w:pStyle w:val="ListParagraph"/>
        <w:numPr>
          <w:ilvl w:val="0"/>
          <w:numId w:val="2"/>
        </w:numPr>
        <w:spacing w:after="65" w:before="65"/>
      </w:pPr>
      <w:r>
        <w:rPr>
          <w:rFonts w:ascii="Georgia" w:cs="Georgia" w:eastAsia="Georgia" w:hAnsi="Georgia"/>
          <w:color w:val="374151"/>
          <w:sz w:val="21"/>
          <w:szCs w:val="21"/>
        </w:rPr>
        <w:t xml:space="preserve">The hiring team paused the process due to budget, reorg, or timing</w:t>
      </w:r>
    </w:p>
    <w:p>
      <w:pPr>
        <w:pStyle w:val="ListParagraph"/>
        <w:numPr>
          <w:ilvl w:val="0"/>
          <w:numId w:val="2"/>
        </w:numPr>
        <w:spacing w:after="65" w:before="65"/>
      </w:pPr>
      <w:r>
        <w:rPr>
          <w:rFonts w:ascii="Georgia" w:cs="Georgia" w:eastAsia="Georgia" w:hAnsi="Georgia"/>
          <w:color w:val="374151"/>
          <w:sz w:val="21"/>
          <w:szCs w:val="21"/>
        </w:rPr>
        <w:t xml:space="preserve">The resume used different language than the job description, so the ATS scored it low despite strong experience</w:t>
      </w:r>
    </w:p>
    <w:p>
      <w:pPr>
        <w:spacing w:after="110" w:before="110"/>
      </w:pPr>
      <w:r>
        <w:rPr>
          <w:rFonts w:ascii="Georgia" w:cs="Georgia" w:eastAsia="Georgia" w:hAnsi="Georgia"/>
          <w:color w:val="374151"/>
          <w:sz w:val="21"/>
          <w:szCs w:val="21"/>
        </w:rPr>
        <w:t xml:space="preserve">The job search feels personal because it's about your livelihood and your future. But the process on the other end is largely impersonal. Understanding that difference makes it easier to keep going.</w:t>
      </w:r>
    </w:p>
    <w:p>
      <w:pPr>
        <w:spacing w:after="48" w:before="220"/>
      </w:pPr>
      <w:r>
        <w:rPr>
          <w:rFonts w:ascii="Arial" w:cs="Arial" w:eastAsia="Arial" w:hAnsi="Arial"/>
          <w:b/>
          <w:bCs/>
          <w:color w:val="2558A8"/>
          <w:spacing w:val="40"/>
          <w:sz w:val="17"/>
          <w:szCs w:val="17"/>
        </w:rPr>
        <w:t xml:space="preserve">THE NETWORKING ADVANTAGE</w:t>
      </w:r>
    </w:p>
    <w:p>
      <w:pPr>
        <w:pBdr>
          <w:bottom w:val="single" w:color="C8DAF5" w:sz="5" w:space="3"/>
        </w:pBdr>
        <w:spacing w:after="100" w:before="0"/>
      </w:pPr>
      <w:r>
        <w:rPr>
          <w:rFonts w:ascii="Arial" w:cs="Arial" w:eastAsia="Arial" w:hAnsi="Arial"/>
          <w:b/>
          <w:bCs/>
          <w:color w:val="1E3A5F"/>
          <w:sz w:val="27"/>
          <w:szCs w:val="27"/>
        </w:rPr>
        <w:t xml:space="preserve">From Unknown Applicant to Known Candidate</w:t>
      </w:r>
    </w:p>
    <w:p>
      <w:pPr>
        <w:spacing w:after="110" w:before="110"/>
      </w:pPr>
      <w:r>
        <w:rPr>
          <w:rFonts w:ascii="Georgia" w:cs="Georgia" w:eastAsia="Georgia" w:hAnsi="Georgia"/>
          <w:color w:val="374151"/>
          <w:sz w:val="21"/>
          <w:szCs w:val="21"/>
        </w:rPr>
        <w:t xml:space="preserve">Here's the most important shift in how you think about job searching: networking is not about asking people for jobs. It's about becoming a </w:t>
      </w:r>
      <w:r>
        <w:rPr>
          <w:rFonts w:ascii="Georgia" w:cs="Georgia" w:eastAsia="Georgia" w:hAnsi="Georgia"/>
          <w:b/>
          <w:bCs/>
          <w:color w:val="2558A8"/>
          <w:sz w:val="21"/>
          <w:szCs w:val="21"/>
        </w:rPr>
        <w:t xml:space="preserve">known person</w:t>
      </w:r>
      <w:r>
        <w:rPr>
          <w:rFonts w:ascii="Georgia" w:cs="Georgia" w:eastAsia="Georgia" w:hAnsi="Georgia"/>
          <w:color w:val="374151"/>
          <w:sz w:val="21"/>
          <w:szCs w:val="21"/>
        </w:rPr>
        <w:t xml:space="preserve"> before you apply.</w:t>
      </w:r>
    </w:p>
    <w:p>
      <w:pPr>
        <w:spacing w:after="110" w:before="110"/>
      </w:pPr>
      <w:r>
        <w:rPr>
          <w:rFonts w:ascii="Georgia" w:cs="Georgia" w:eastAsia="Georgia" w:hAnsi="Georgia"/>
          <w:color w:val="374151"/>
          <w:sz w:val="21"/>
          <w:szCs w:val="21"/>
        </w:rPr>
        <w:t xml:space="preserve">When an employee at a company mentions your name to a recruiter — or when you've already had a genuine LinkedIn exchange with someone on the team — you're no longer one of 300 unknown applicants. You're a known quantity. That moves you up the stack without changing anything on your resume.</w:t>
      </w:r>
    </w:p>
    <w:p>
      <w:pPr>
        <w:spacing w:after="110" w:before="110"/>
      </w:pPr>
      <w:r>
        <w:rPr>
          <w:rFonts w:ascii="Georgia" w:cs="Georgia" w:eastAsia="Georgia" w:hAnsi="Georgia"/>
          <w:color w:val="374151"/>
          <w:sz w:val="21"/>
          <w:szCs w:val="21"/>
        </w:rPr>
        <w:t xml:space="preserve">This doesn't require aggressive outreach or networking events you dread. It requires one genuine message to one person, asking one real question about their work or team. Done consistently, it changes your job search trajectory.</w:t>
      </w:r>
    </w:p>
    <w:p>
      <w:pPr>
        <w:spacing w:after="48" w:before="220"/>
      </w:pPr>
      <w:r>
        <w:rPr>
          <w:rFonts w:ascii="Arial" w:cs="Arial" w:eastAsia="Arial" w:hAnsi="Arial"/>
          <w:b/>
          <w:bCs/>
          <w:color w:val="2558A8"/>
          <w:spacing w:val="40"/>
          <w:sz w:val="17"/>
          <w:szCs w:val="17"/>
        </w:rPr>
        <w:t xml:space="preserve">3 WAYS TO NAVIGATE THE HIRING PROCESS MORE STRATEGICALLY</w:t>
      </w:r>
    </w:p>
    <w:p>
      <w:pPr>
        <w:spacing w:after="0" w:before="4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00"/>
        <w:gridCol w:w="8140"/>
      </w:tblGrid>
      <w:tr>
        <w:tc>
          <w:tcPr>
            <w:tcW w:type="dxa" w:w="500"/>
            <w:tcBorders>
              <w:top w:val="nil" w:color="FFFFFF" w:sz="0"/>
              <w:left w:val="nil" w:color="FFFFFF" w:sz="0"/>
              <w:bottom w:val="nil" w:color="FFFFFF" w:sz="0"/>
              <w:right w:val="nil" w:color="FFFFFF" w:sz="0"/>
            </w:tcBorders>
            <w:shd w:fill="1E3A5F" w:val="clear"/>
            <w:tcMar>
              <w:top w:type="dxa" w:w="120"/>
              <w:left w:type="dxa" w:w="110"/>
              <w:bottom w:type="dxa" w:w="120"/>
              <w:right w:type="dxa" w:w="90"/>
            </w:tcMar>
          </w:tcPr>
          <w:p>
            <w:pPr>
              <w:jc w:val="center"/>
            </w:pPr>
            <w:r>
              <w:rPr>
                <w:rFonts w:ascii="Arial" w:cs="Arial" w:eastAsia="Arial" w:hAnsi="Arial"/>
                <w:b/>
                <w:bCs/>
                <w:color w:val="FFFFFF"/>
                <w:sz w:val="22"/>
                <w:szCs w:val="22"/>
              </w:rPr>
              <w:t xml:space="preserve">1</w:t>
            </w:r>
          </w:p>
        </w:tc>
        <w:tc>
          <w:tcPr>
            <w:tcW w:type="dxa" w:w="8140"/>
            <w:tcBorders>
              <w:top w:val="nil" w:color="FFFFFF" w:sz="0"/>
              <w:left w:val="nil" w:color="FFFFFF" w:sz="0"/>
              <w:bottom w:val="single" w:color="C8DAF5" w:sz="2"/>
              <w:right w:val="nil" w:color="FFFFFF" w:sz="0"/>
            </w:tcBorders>
            <w:shd w:fill="EBF2FC" w:val="clear"/>
            <w:tcMar>
              <w:top w:type="dxa" w:w="120"/>
              <w:left w:type="dxa" w:w="200"/>
              <w:bottom w:type="dxa" w:w="120"/>
              <w:right w:type="dxa" w:w="180"/>
            </w:tcMar>
          </w:tcPr>
          <w:p>
            <w:pPr>
              <w:spacing w:after="40" w:before="0"/>
            </w:pPr>
            <w:r>
              <w:rPr>
                <w:rFonts w:ascii="Arial" w:cs="Arial" w:eastAsia="Arial" w:hAnsi="Arial"/>
                <w:b/>
                <w:bCs/>
                <w:color w:val="1E3A5F"/>
                <w:sz w:val="20"/>
                <w:szCs w:val="20"/>
              </w:rPr>
              <w:t xml:space="preserve">Tailor, don't broadcast.</w:t>
            </w:r>
          </w:p>
          <w:p>
            <w:pPr>
              <w:spacing w:after="0" w:before="0"/>
            </w:pPr>
            <w:r>
              <w:rPr>
                <w:rFonts w:ascii="Georgia" w:cs="Georgia" w:eastAsia="Georgia" w:hAnsi="Georgia"/>
                <w:color w:val="374151"/>
                <w:sz w:val="20"/>
                <w:szCs w:val="20"/>
              </w:rPr>
              <w:t xml:space="preserve">Match your resume's language to each job posting. Use the exact phrases the employer used. Fifteen tailored applications will outperform one hundred generic ones almost every time.</w:t>
            </w:r>
          </w:p>
        </w:tc>
      </w:tr>
      <w:tr>
        <w:tc>
          <w:tcPr>
            <w:tcW w:type="dxa" w:w="500"/>
            <w:tcBorders>
              <w:top w:val="nil" w:color="FFFFFF" w:sz="0"/>
              <w:left w:val="nil" w:color="FFFFFF" w:sz="0"/>
              <w:bottom w:val="nil" w:color="FFFFFF" w:sz="0"/>
              <w:right w:val="nil" w:color="FFFFFF" w:sz="0"/>
            </w:tcBorders>
            <w:shd w:fill="1E3A5F" w:val="clear"/>
            <w:tcMar>
              <w:top w:type="dxa" w:w="120"/>
              <w:left w:type="dxa" w:w="110"/>
              <w:bottom w:type="dxa" w:w="120"/>
              <w:right w:type="dxa" w:w="90"/>
            </w:tcMar>
          </w:tcPr>
          <w:p>
            <w:pPr>
              <w:jc w:val="center"/>
            </w:pPr>
            <w:r>
              <w:rPr>
                <w:rFonts w:ascii="Arial" w:cs="Arial" w:eastAsia="Arial" w:hAnsi="Arial"/>
                <w:b/>
                <w:bCs/>
                <w:color w:val="FFFFFF"/>
                <w:sz w:val="22"/>
                <w:szCs w:val="22"/>
              </w:rPr>
              <w:t xml:space="preserve">2</w:t>
            </w:r>
          </w:p>
        </w:tc>
        <w:tc>
          <w:tcPr>
            <w:tcW w:type="dxa" w:w="8140"/>
            <w:tcBorders>
              <w:top w:val="nil" w:color="FFFFFF" w:sz="0"/>
              <w:left w:val="nil" w:color="FFFFFF" w:sz="0"/>
              <w:bottom w:val="single" w:color="C8DAF5" w:sz="2"/>
              <w:right w:val="nil" w:color="FFFFFF" w:sz="0"/>
            </w:tcBorders>
            <w:shd w:fill="EBF2FC" w:val="clear"/>
            <w:tcMar>
              <w:top w:type="dxa" w:w="120"/>
              <w:left w:type="dxa" w:w="200"/>
              <w:bottom w:type="dxa" w:w="120"/>
              <w:right w:type="dxa" w:w="180"/>
            </w:tcMar>
          </w:tcPr>
          <w:p>
            <w:pPr>
              <w:spacing w:after="40" w:before="0"/>
            </w:pPr>
            <w:r>
              <w:rPr>
                <w:rFonts w:ascii="Arial" w:cs="Arial" w:eastAsia="Arial" w:hAnsi="Arial"/>
                <w:b/>
                <w:bCs/>
                <w:color w:val="1E3A5F"/>
                <w:sz w:val="20"/>
                <w:szCs w:val="20"/>
              </w:rPr>
              <w:t xml:space="preserve">Build visible proof before you apply.</w:t>
            </w:r>
          </w:p>
          <w:p>
            <w:pPr>
              <w:spacing w:after="0" w:before="0"/>
            </w:pPr>
            <w:r>
              <w:rPr>
                <w:rFonts w:ascii="Georgia" w:cs="Georgia" w:eastAsia="Georgia" w:hAnsi="Georgia"/>
                <w:color w:val="374151"/>
                <w:sz w:val="20"/>
                <w:szCs w:val="20"/>
              </w:rPr>
              <w:t xml:space="preserve">A home lab writeup, a GitHub project, a completed certification with notes — these give hiring managers evidence that you can actually do the work, not just that you've taken the courses.</w:t>
            </w:r>
          </w:p>
        </w:tc>
      </w:tr>
      <w:tr>
        <w:tc>
          <w:tcPr>
            <w:tcW w:type="dxa" w:w="500"/>
            <w:tcBorders>
              <w:top w:val="nil" w:color="FFFFFF" w:sz="0"/>
              <w:left w:val="nil" w:color="FFFFFF" w:sz="0"/>
              <w:bottom w:val="nil" w:color="FFFFFF" w:sz="0"/>
              <w:right w:val="nil" w:color="FFFFFF" w:sz="0"/>
            </w:tcBorders>
            <w:shd w:fill="1E3A5F" w:val="clear"/>
            <w:tcMar>
              <w:top w:type="dxa" w:w="120"/>
              <w:left w:type="dxa" w:w="110"/>
              <w:bottom w:type="dxa" w:w="120"/>
              <w:right w:type="dxa" w:w="90"/>
            </w:tcMar>
          </w:tcPr>
          <w:p>
            <w:pPr>
              <w:jc w:val="center"/>
            </w:pPr>
            <w:r>
              <w:rPr>
                <w:rFonts w:ascii="Arial" w:cs="Arial" w:eastAsia="Arial" w:hAnsi="Arial"/>
                <w:b/>
                <w:bCs/>
                <w:color w:val="FFFFFF"/>
                <w:sz w:val="22"/>
                <w:szCs w:val="22"/>
              </w:rPr>
              <w:t xml:space="preserve">3</w:t>
            </w:r>
          </w:p>
        </w:tc>
        <w:tc>
          <w:tcPr>
            <w:tcW w:type="dxa" w:w="8140"/>
            <w:tcBorders>
              <w:top w:val="nil" w:color="FFFFFF" w:sz="0"/>
              <w:left w:val="nil" w:color="FFFFFF" w:sz="0"/>
              <w:bottom w:val="single" w:color="C8DAF5" w:sz="2"/>
              <w:right w:val="nil" w:color="FFFFFF" w:sz="0"/>
            </w:tcBorders>
            <w:shd w:fill="EBF2FC" w:val="clear"/>
            <w:tcMar>
              <w:top w:type="dxa" w:w="120"/>
              <w:left w:type="dxa" w:w="200"/>
              <w:bottom w:type="dxa" w:w="120"/>
              <w:right w:type="dxa" w:w="180"/>
            </w:tcMar>
          </w:tcPr>
          <w:p>
            <w:pPr>
              <w:spacing w:after="40" w:before="0"/>
            </w:pPr>
            <w:r>
              <w:rPr>
                <w:rFonts w:ascii="Arial" w:cs="Arial" w:eastAsia="Arial" w:hAnsi="Arial"/>
                <w:b/>
                <w:bCs/>
                <w:color w:val="1E3A5F"/>
                <w:sz w:val="20"/>
                <w:szCs w:val="20"/>
              </w:rPr>
              <w:t xml:space="preserve">Connect with people before applying.</w:t>
            </w:r>
          </w:p>
          <w:p>
            <w:pPr>
              <w:spacing w:after="0" w:before="0"/>
            </w:pPr>
            <w:r>
              <w:rPr>
                <w:rFonts w:ascii="Georgia" w:cs="Georgia" w:eastAsia="Georgia" w:hAnsi="Georgia"/>
                <w:color w:val="374151"/>
                <w:sz w:val="20"/>
                <w:szCs w:val="20"/>
              </w:rPr>
              <w:t xml:space="preserve">Find one employee or recruiter at a target company on LinkedIn. Send a short, specific message — one genuine question, one real comment. You're not asking for a job. You're starting to become a known person.</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il" w:color="FFFFFF" w:sz="0"/>
              <w:left w:val="nil" w:color="FFFFFF" w:sz="0"/>
              <w:bottom w:val="nil" w:color="FFFFFF" w:sz="0"/>
              <w:right w:val="nil" w:color="FFFFFF" w:sz="0"/>
            </w:tcBorders>
            <w:shd w:fill="2558A8" w:val="clear"/>
            <w:tcMar>
              <w:top w:type="dxa" w:w="0"/>
              <w:left w:type="dxa" w:w="0"/>
              <w:bottom w:type="dxa" w:w="0"/>
              <w:right w:type="dxa" w:w="0"/>
            </w:tcMar>
          </w:tcPr>
          <w:p>
            <w:r>
              <w:rPr>
                <w:rFonts w:ascii="Arial" w:cs="Arial" w:eastAsia="Arial" w:hAnsi="Arial"/>
                <w:color w:val="374151"/>
                <w:sz w:val="20"/>
                <w:szCs w:val="20"/>
              </w:rPr>
              <w:t xml:space="preserve"/>
            </w:r>
          </w:p>
        </w:tc>
        <w:tc>
          <w:tcPr>
            <w:tcW w:type="dxa" w:w="9140"/>
            <w:tcBorders>
              <w:top w:val="nil" w:color="FFFFFF" w:sz="0"/>
              <w:left w:val="nil" w:color="FFFFFF" w:sz="0"/>
              <w:bottom w:val="nil" w:color="FFFFFF" w:sz="0"/>
              <w:right w:val="nil" w:color="FFFFFF" w:sz="0"/>
            </w:tcBorders>
            <w:shd w:fill="EBF2FC" w:val="clear"/>
            <w:tcMar>
              <w:top w:type="dxa" w:w="160"/>
              <w:left w:type="dxa" w:w="220"/>
              <w:bottom w:type="dxa" w:w="160"/>
              <w:right w:type="dxa" w:w="220"/>
            </w:tcMar>
          </w:tcPr>
          <w:p>
            <w:pPr>
              <w:spacing w:after="60" w:before="0"/>
            </w:pPr>
            <w:r>
              <w:rPr>
                <w:rFonts w:ascii="Arial" w:cs="Arial" w:eastAsia="Arial" w:hAnsi="Arial"/>
                <w:b/>
                <w:bCs/>
                <w:color w:val="1E3A5F"/>
                <w:sz w:val="21"/>
                <w:szCs w:val="21"/>
              </w:rPr>
              <w:t xml:space="preserve">Remember:</w:t>
            </w:r>
          </w:p>
          <w:p>
            <w:pPr>
              <w:spacing w:after="0" w:before="0"/>
            </w:pPr>
            <w:r>
              <w:rPr>
                <w:rFonts w:ascii="Georgia" w:cs="Georgia" w:eastAsia="Georgia" w:hAnsi="Georgia"/>
                <w:color w:val="374151"/>
                <w:sz w:val="21"/>
                <w:szCs w:val="21"/>
              </w:rPr>
              <w:t xml:space="preserve">You can't control every part of the hiring system. But you can control the quality of your materials, the visibility of your skills, and whether you're a stranger or a known person when your name comes up. Focus there.</w:t>
            </w:r>
          </w:p>
        </w:tc>
      </w:tr>
    </w:tbl>
    <w:p>
      <w:pPr>
        <w:spacing w:after="0" w:before="140"/>
      </w:pPr>
      <w:r>
        <w:t xml:space="preserve"/>
      </w:r>
    </w:p>
    <w:p>
      <w:pPr>
        <w:pBdr>
          <w:top w:val="single" w:color="C8DAF5" w:sz="4" w:space="3"/>
        </w:pBdr>
        <w:spacing w:after="0" w:before="60"/>
        <w:jc w:val="center"/>
      </w:pPr>
      <w:r>
        <w:rPr>
          <w:rFonts w:ascii="Arial" w:cs="Arial" w:eastAsia="Arial" w:hAnsi="Arial"/>
          <w:i/>
          <w:iCs/>
          <w:color w:val="6B7280"/>
          <w:sz w:val="16"/>
          <w:szCs w:val="16"/>
        </w:rPr>
        <w:t xml:space="preserve">Sources: SHRM  •  LinkedIn Workforce Reports  •  HR Research &amp; Hiring Manager Evaluation Guides  •  Recruiter Practitioner Interviews  •  Workforce Development Resources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40"/>
      </w:pPr>
      <w:rPr>
        <w:color w:val="2558A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286F105BDD214FA81D4A6BFB238CC4" ma:contentTypeVersion="19" ma:contentTypeDescription="Create a new document." ma:contentTypeScope="" ma:versionID="fe64a8a06ac5abb6f1946da17dd894f6">
  <xsd:schema xmlns:xsd="http://www.w3.org/2001/XMLSchema" xmlns:xs="http://www.w3.org/2001/XMLSchema" xmlns:p="http://schemas.microsoft.com/office/2006/metadata/properties" xmlns:ns2="991a20c6-7779-4c7e-8e3a-acf878330878" xmlns:ns3="194603e3-38c2-4ee5-8f94-33c99f98e49d" targetNamespace="http://schemas.microsoft.com/office/2006/metadata/properties" ma:root="true" ma:fieldsID="39ee7167373acdab14387c30e3645137" ns2:_="" ns3:_="">
    <xsd:import namespace="991a20c6-7779-4c7e-8e3a-acf878330878"/>
    <xsd:import namespace="194603e3-38c2-4ee5-8f94-33c99f98e49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lcf76f155ced4ddcb4097134ff3c332f" minOccurs="0"/>
                <xsd:element ref="ns2:TaxCatchAll" minOccurs="0"/>
                <xsd:element ref="ns3:MediaServiceSearchProperties" minOccurs="0"/>
                <xsd:element ref="ns3:MediaLengthInSeconds" minOccurs="0"/>
                <xsd:element ref="ns3:Videoinfo"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1a20c6-7779-4c7e-8e3a-acf87833087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07b50ae-e15c-491e-9502-aec67d0a10f6}" ma:internalName="TaxCatchAll" ma:showField="CatchAllData" ma:web="991a20c6-7779-4c7e-8e3a-acf8783308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4603e3-38c2-4ee5-8f94-33c99f98e49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468a54d-6a37-4c52-9176-b0e2c72a8f97"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Videoinfo" ma:index="24" nillable="true" ma:displayName="Video info" ma:format="Dropdown" ma:internalName="Videoinfo">
      <xsd:simpleType>
        <xsd:restriction base="dms:Text">
          <xsd:maxLength value="255"/>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91a20c6-7779-4c7e-8e3a-acf878330878" xsi:nil="true"/>
    <lcf76f155ced4ddcb4097134ff3c332f xmlns="194603e3-38c2-4ee5-8f94-33c99f98e49d">
      <Terms xmlns="http://schemas.microsoft.com/office/infopath/2007/PartnerControls"/>
    </lcf76f155ced4ddcb4097134ff3c332f>
    <Videoinfo xmlns="194603e3-38c2-4ee5-8f94-33c99f98e49d" xsi:nil="true"/>
  </documentManagement>
</p:properties>
</file>

<file path=customXml/itemProps1.xml><?xml version="1.0" encoding="utf-8"?>
<ds:datastoreItem xmlns:ds="http://schemas.openxmlformats.org/officeDocument/2006/customXml" ds:itemID="{B35ED56C-A958-44BF-A279-0B09178A0665}"/>
</file>

<file path=customXml/itemProps2.xml><?xml version="1.0" encoding="utf-8"?>
<ds:datastoreItem xmlns:ds="http://schemas.openxmlformats.org/officeDocument/2006/customXml" ds:itemID="{D663B6BC-A337-426E-99F4-A4A2C6D7F8BA}"/>
</file>

<file path=customXml/itemProps3.xml><?xml version="1.0" encoding="utf-8"?>
<ds:datastoreItem xmlns:ds="http://schemas.openxmlformats.org/officeDocument/2006/customXml" ds:itemID="{B4AFAFA9-D65F-4DBC-AE81-28D607B84B9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2026-03-05T18:40:49Z</dcterms:created>
  <dcterms:modified xsi:type="dcterms:W3CDTF">2026-03-05T18:40:49Z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0x010100AD286F105BDD214FA81D4A6BFB238CC4</vt:lpwstr>
  </property>
</Properties>
</file>