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2558A8"/>
          <w:sz w:val="17"/>
          <w:szCs w:val="17"/>
        </w:rPr>
        <w:t xml:space="preserve">LinkedIn Article</w:t>
      </w:r>
    </w:p>
    <w:p>
      <w:pPr>
        <w:pBdr>
          <w:bottom w:val="single" w:color="1E3A5F" w:sz="10" w:space="6"/>
        </w:pBdr>
        <w:spacing w:after="100" w:before="0"/>
      </w:pPr>
      <w:r>
        <w:rPr>
          <w:rFonts w:ascii="Arial" w:cs="Arial" w:eastAsia="Arial" w:hAnsi="Arial"/>
          <w:b/>
          <w:bCs/>
          <w:color w:val="1E3A5F"/>
          <w:sz w:val="34"/>
          <w:szCs w:val="34"/>
        </w:rPr>
        <w:t xml:space="preserve">Why Job Searching Feels Broken (And What's Actually Happening Behind the Scenes)</w:t>
      </w:r>
    </w:p>
    <w:p>
      <w:pPr>
        <w:spacing w:after="220" w:before="80"/>
      </w:pPr>
      <w:r>
        <w:rPr>
          <w:rFonts w:ascii="Arial" w:cs="Arial" w:eastAsia="Arial" w:hAnsi="Arial"/>
          <w:i/>
          <w:iCs/>
          <w:color w:val="6B7280"/>
          <w:sz w:val="19"/>
          <w:szCs w:val="19"/>
        </w:rPr>
        <w:t xml:space="preserve">For career coaches, workforce development professionals, recruiters, and hiring managers</w:t>
      </w:r>
    </w:p>
    <w:p>
      <w:pPr>
        <w:spacing w:after="110" w:before="110"/>
      </w:pPr>
      <w:r>
        <w:rPr>
          <w:rFonts w:ascii="Georgia" w:cs="Georgia" w:eastAsia="Georgia" w:hAnsi="Georgia"/>
          <w:color w:val="374151"/>
          <w:sz w:val="21"/>
          <w:szCs w:val="21"/>
        </w:rPr>
        <w:t xml:space="preserve">Most people who have been through a serious job search describe the same experience: they send application after application and hear almost nothing back. Not a rejection. Not an update. Just silence.</w:t>
      </w:r>
    </w:p>
    <w:p>
      <w:pPr>
        <w:spacing w:after="110" w:before="110"/>
      </w:pPr>
      <w:r>
        <w:rPr>
          <w:rFonts w:ascii="Georgia" w:cs="Georgia" w:eastAsia="Georgia" w:hAnsi="Georgia"/>
          <w:color w:val="374151"/>
          <w:sz w:val="21"/>
          <w:szCs w:val="21"/>
        </w:rPr>
        <w:t xml:space="preserve">When this happens, the natural interpretation is personal. </w:t>
      </w:r>
      <w:r>
        <w:rPr>
          <w:rFonts w:ascii="Georgia" w:cs="Georgia" w:eastAsia="Georgia" w:hAnsi="Georgia"/>
          <w:i/>
          <w:iCs/>
          <w:color w:val="374151"/>
          <w:sz w:val="21"/>
          <w:szCs w:val="21"/>
        </w:rPr>
        <w:t xml:space="preserve">I wasn't good enough. I didn't qualify. They didn't want someone like me.</w:t>
      </w:r>
      <w:r>
        <w:rPr>
          <w:rFonts w:ascii="Georgia" w:cs="Georgia" w:eastAsia="Georgia" w:hAnsi="Georgia"/>
          <w:color w:val="374151"/>
          <w:sz w:val="21"/>
          <w:szCs w:val="21"/>
        </w:rPr>
        <w:t xml:space="preserve"> That interpretation is usually wrong — and it's damaging the confidence of a lot of capable people.</w:t>
      </w:r>
    </w:p>
    <w:p>
      <w:pPr>
        <w:spacing w:after="48" w:before="220"/>
      </w:pPr>
      <w:r>
        <w:rPr>
          <w:rFonts w:ascii="Arial" w:cs="Arial" w:eastAsia="Arial" w:hAnsi="Arial"/>
          <w:b/>
          <w:bCs/>
          <w:color w:val="2558A8"/>
          <w:spacing w:val="40"/>
          <w:sz w:val="17"/>
          <w:szCs w:val="17"/>
        </w:rPr>
        <w:t xml:space="preserve">WHAT'S ACTUALLY HAPPENING</w:t>
      </w:r>
    </w:p>
    <w:p>
      <w:pPr>
        <w:pBdr>
          <w:bottom w:val="single" w:color="C8DAF5" w:sz="5" w:space="3"/>
        </w:pBdr>
        <w:spacing w:after="100" w:before="0"/>
      </w:pPr>
      <w:r>
        <w:rPr>
          <w:rFonts w:ascii="Arial" w:cs="Arial" w:eastAsia="Arial" w:hAnsi="Arial"/>
          <w:b/>
          <w:bCs/>
          <w:color w:val="1E3A5F"/>
          <w:sz w:val="27"/>
          <w:szCs w:val="27"/>
        </w:rPr>
        <w:t xml:space="preserve">Inside the Recruiting Pipeline</w:t>
      </w:r>
    </w:p>
    <w:p>
      <w:pPr>
        <w:spacing w:after="110" w:before="110"/>
      </w:pPr>
      <w:r>
        <w:rPr>
          <w:rFonts w:ascii="Georgia" w:cs="Georgia" w:eastAsia="Georgia" w:hAnsi="Georgia"/>
          <w:color w:val="374151"/>
          <w:sz w:val="21"/>
          <w:szCs w:val="21"/>
        </w:rPr>
        <w:t xml:space="preserve">A typical job posting at a mid-size company receives between 200 and 500 applications within the first 72 hours. At larger organizations, that number can be significantly higher. The recruiter managing that role is likely also managing 20 to 50 other open positions simultaneously.</w:t>
      </w:r>
    </w:p>
    <w:p>
      <w:pPr>
        <w:spacing w:after="110" w:before="110"/>
      </w:pPr>
      <w:r>
        <w:rPr>
          <w:rFonts w:ascii="Georgia" w:cs="Georgia" w:eastAsia="Georgia" w:hAnsi="Georgia"/>
          <w:color w:val="374151"/>
          <w:sz w:val="21"/>
          <w:szCs w:val="21"/>
        </w:rPr>
        <w:t xml:space="preserve">That math makes personal responses to every applicant functionally impossible — not because recruiters don't care, but because the volume makes it unrealistic. This isn't a character flaw in the hiring process. It's a structural reality that candidates deserve to understand.</w:t>
      </w:r>
    </w:p>
    <w:p>
      <w:pPr>
        <w:spacing w:after="110" w:before="110"/>
      </w:pPr>
      <w:r>
        <w:rPr>
          <w:rFonts w:ascii="Georgia" w:cs="Georgia" w:eastAsia="Georgia" w:hAnsi="Georgia"/>
          <w:color w:val="374151"/>
          <w:sz w:val="21"/>
          <w:szCs w:val="21"/>
        </w:rPr>
        <w:t xml:space="preserve">Before a recruiter ever opens a resume, Applicant Tracking Systems have already scored and ranked the applicant pool. SHRM and LinkedIn workforce research both document how widely ATS is used — the vast majority of mid-to-large employers rely on it. A qualified candidate with a well-written but poorly tailored resume can disappear from the pipeline before a human ever considers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il" w:color="FFFFFF" w:sz="0"/>
              <w:left w:val="nil" w:color="FFFFFF" w:sz="0"/>
              <w:bottom w:val="nil" w:color="FFFFFF" w:sz="0"/>
              <w:right w:val="nil" w:color="FFFFFF" w:sz="0"/>
            </w:tcBorders>
            <w:shd w:fill="2558A8" w:val="clear"/>
            <w:tcMar>
              <w:top w:type="dxa" w:w="0"/>
              <w:left w:type="dxa" w:w="0"/>
              <w:bottom w:type="dxa" w:w="0"/>
              <w:right w:type="dxa" w:w="0"/>
            </w:tcMar>
          </w:tcPr>
          <w:p>
            <w:r>
              <w:rPr>
                <w:rFonts w:ascii="Arial" w:cs="Arial" w:eastAsia="Arial" w:hAnsi="Arial"/>
                <w:color w:val="374151"/>
                <w:sz w:val="20"/>
                <w:szCs w:val="20"/>
              </w:rPr>
              <w:t xml:space="preserve"/>
            </w:r>
          </w:p>
        </w:tc>
        <w:tc>
          <w:tcPr>
            <w:tcW w:type="dxa" w:w="9140"/>
            <w:tcBorders>
              <w:top w:val="nil" w:color="FFFFFF" w:sz="0"/>
              <w:left w:val="nil" w:color="FFFFFF" w:sz="0"/>
              <w:bottom w:val="nil" w:color="FFFFFF" w:sz="0"/>
              <w:right w:val="nil" w:color="FFFFFF" w:sz="0"/>
            </w:tcBorders>
            <w:shd w:fill="EBF2FC" w:val="clear"/>
            <w:tcMar>
              <w:top w:type="dxa" w:w="160"/>
              <w:left w:type="dxa" w:w="220"/>
              <w:bottom w:type="dxa" w:w="160"/>
              <w:right w:type="dxa" w:w="220"/>
            </w:tcMar>
          </w:tcPr>
          <w:p>
            <w:r>
              <w:rPr>
                <w:rFonts w:ascii="Georgia" w:cs="Georgia" w:eastAsia="Georgia" w:hAnsi="Georgia"/>
                <w:b/>
                <w:bCs/>
                <w:i/>
                <w:iCs/>
                <w:color w:val="1E3A5F"/>
                <w:sz w:val="22"/>
                <w:szCs w:val="22"/>
              </w:rPr>
              <w:t xml:space="preserve">Silence isn't a rejection. It's a pipeline problem. Understanding the difference changes how candidates respond to it.</w:t>
            </w:r>
          </w:p>
        </w:tc>
      </w:tr>
    </w:tbl>
    <w:p>
      <w:pPr>
        <w:spacing w:after="48" w:before="220"/>
      </w:pPr>
      <w:r>
        <w:rPr>
          <w:rFonts w:ascii="Arial" w:cs="Arial" w:eastAsia="Arial" w:hAnsi="Arial"/>
          <w:b/>
          <w:bCs/>
          <w:color w:val="2558A8"/>
          <w:spacing w:val="40"/>
          <w:sz w:val="17"/>
          <w:szCs w:val="17"/>
        </w:rPr>
        <w:t xml:space="preserve">WHY REFERRALS CHANGE EVERYTHING</w:t>
      </w:r>
    </w:p>
    <w:p>
      <w:pPr>
        <w:pBdr>
          <w:bottom w:val="single" w:color="C8DAF5" w:sz="5" w:space="3"/>
        </w:pBdr>
        <w:spacing w:after="100" w:before="0"/>
      </w:pPr>
      <w:r>
        <w:rPr>
          <w:rFonts w:ascii="Arial" w:cs="Arial" w:eastAsia="Arial" w:hAnsi="Arial"/>
          <w:b/>
          <w:bCs/>
          <w:color w:val="1E3A5F"/>
          <w:sz w:val="27"/>
          <w:szCs w:val="27"/>
        </w:rPr>
        <w:t xml:space="preserve">The Hidden Advantage Most Candidates Don't Use</w:t>
      </w:r>
    </w:p>
    <w:p>
      <w:pPr>
        <w:spacing w:after="110" w:before="110"/>
      </w:pPr>
      <w:r>
        <w:rPr>
          <w:rFonts w:ascii="Georgia" w:cs="Georgia" w:eastAsia="Georgia" w:hAnsi="Georgia"/>
          <w:color w:val="374151"/>
          <w:sz w:val="21"/>
          <w:szCs w:val="21"/>
        </w:rPr>
        <w:t xml:space="preserve">Here's something most job seekers don't know: many companies fill positions with referred candidates before the public posting closes — or even before it opens. LinkedIn workforce data consistently shows that referred candidates are significantly more likely to advance to interviews and receive offers than applicants who applied cold.</w:t>
      </w:r>
    </w:p>
    <w:p>
      <w:pPr>
        <w:spacing w:after="110" w:before="110"/>
      </w:pPr>
      <w:r>
        <w:rPr>
          <w:rFonts w:ascii="Georgia" w:cs="Georgia" w:eastAsia="Georgia" w:hAnsi="Georgia"/>
          <w:color w:val="374151"/>
          <w:sz w:val="21"/>
          <w:szCs w:val="21"/>
        </w:rPr>
        <w:t xml:space="preserve">The reason is practical. A recruiter managing 300 applications will surface a referred candidate immediately. The employee who made the referral has already done a layer of informal screening. The candidate is no longer an unknown.</w:t>
      </w:r>
    </w:p>
    <w:p>
      <w:pPr>
        <w:spacing w:after="110" w:before="110"/>
      </w:pPr>
      <w:r>
        <w:rPr>
          <w:rFonts w:ascii="Georgia" w:cs="Georgia" w:eastAsia="Georgia" w:hAnsi="Georgia"/>
          <w:color w:val="374151"/>
          <w:sz w:val="21"/>
          <w:szCs w:val="21"/>
        </w:rPr>
        <w:t xml:space="preserve">Networking isn't about schmoozing or asking for favors. It's about becoming a known person in spaces where hiring decisions are made. Commenting thoughtfully on a recruiter's LinkedIn post. Reaching out to an employee with one specific question about their team. Attending a virtual meetup and following up afterward. These small moves shift a candidate's status in a way that no resume can.</w:t>
      </w:r>
    </w:p>
    <w:p>
      <w:pPr>
        <w:spacing w:after="48" w:before="220"/>
      </w:pPr>
      <w:r>
        <w:rPr>
          <w:rFonts w:ascii="Arial" w:cs="Arial" w:eastAsia="Arial" w:hAnsi="Arial"/>
          <w:b/>
          <w:bCs/>
          <w:color w:val="2558A8"/>
          <w:spacing w:val="40"/>
          <w:sz w:val="17"/>
          <w:szCs w:val="17"/>
        </w:rPr>
        <w:t xml:space="preserve">WHAT THIS MEANS FOR PROGRAMS AND COACHES</w:t>
      </w:r>
    </w:p>
    <w:p>
      <w:pPr>
        <w:pBdr>
          <w:bottom w:val="single" w:color="C8DAF5" w:sz="5" w:space="3"/>
        </w:pBdr>
        <w:spacing w:after="100" w:before="0"/>
      </w:pPr>
      <w:r>
        <w:rPr>
          <w:rFonts w:ascii="Arial" w:cs="Arial" w:eastAsia="Arial" w:hAnsi="Arial"/>
          <w:b/>
          <w:bCs/>
          <w:color w:val="1E3A5F"/>
          <w:sz w:val="27"/>
          <w:szCs w:val="27"/>
        </w:rPr>
        <w:t xml:space="preserve">Teaching the System, Not Just the Skills</w:t>
      </w:r>
    </w:p>
    <w:p>
      <w:pPr>
        <w:spacing w:after="110" w:before="110"/>
      </w:pPr>
      <w:r>
        <w:rPr>
          <w:rFonts w:ascii="Georgia" w:cs="Georgia" w:eastAsia="Georgia" w:hAnsi="Georgia"/>
          <w:color w:val="374151"/>
          <w:sz w:val="21"/>
          <w:szCs w:val="21"/>
        </w:rPr>
        <w:t xml:space="preserve">For career coaches and workforce programs, this creates a clear responsibility: help candidates understand the system they're operating in, not just how to optimize their materials.</w:t>
      </w:r>
    </w:p>
    <w:p>
      <w:pPr>
        <w:spacing w:after="110" w:before="110"/>
      </w:pPr>
      <w:r>
        <w:rPr>
          <w:rFonts w:ascii="Georgia" w:cs="Georgia" w:eastAsia="Georgia" w:hAnsi="Georgia"/>
          <w:color w:val="374151"/>
          <w:sz w:val="21"/>
          <w:szCs w:val="21"/>
        </w:rPr>
        <w:t xml:space="preserve">The most prepared candidates aren't always the ones who get hired. The ones who get hired understand how the funnel works, where the leverage points are, and how to control what they can control:</w:t>
      </w:r>
    </w:p>
    <w:p>
      <w:pPr>
        <w:pStyle w:val="ListParagraph"/>
        <w:numPr>
          <w:ilvl w:val="0"/>
          <w:numId w:val="2"/>
        </w:numPr>
        <w:spacing w:after="65" w:before="65"/>
      </w:pPr>
      <w:r>
        <w:rPr>
          <w:rFonts w:ascii="Georgia" w:cs="Georgia" w:eastAsia="Georgia" w:hAnsi="Georgia"/>
          <w:color w:val="374151"/>
          <w:sz w:val="21"/>
          <w:szCs w:val="21"/>
        </w:rPr>
        <w:t xml:space="preserve">Tailoring resumes to specific postings rather than sending one version everywhere</w:t>
      </w:r>
    </w:p>
    <w:p>
      <w:pPr>
        <w:pStyle w:val="ListParagraph"/>
        <w:numPr>
          <w:ilvl w:val="0"/>
          <w:numId w:val="2"/>
        </w:numPr>
        <w:spacing w:after="65" w:before="65"/>
      </w:pPr>
      <w:r>
        <w:rPr>
          <w:rFonts w:ascii="Georgia" w:cs="Georgia" w:eastAsia="Georgia" w:hAnsi="Georgia"/>
          <w:color w:val="374151"/>
          <w:sz w:val="21"/>
          <w:szCs w:val="21"/>
        </w:rPr>
        <w:t xml:space="preserve">Building visible proof of skills — projects, write-ups, GitHub repos, home labs</w:t>
      </w:r>
    </w:p>
    <w:p>
      <w:pPr>
        <w:pStyle w:val="ListParagraph"/>
        <w:numPr>
          <w:ilvl w:val="0"/>
          <w:numId w:val="2"/>
        </w:numPr>
        <w:spacing w:after="65" w:before="65"/>
      </w:pPr>
      <w:r>
        <w:rPr>
          <w:rFonts w:ascii="Georgia" w:cs="Georgia" w:eastAsia="Georgia" w:hAnsi="Georgia"/>
          <w:color w:val="374151"/>
          <w:sz w:val="21"/>
          <w:szCs w:val="21"/>
        </w:rPr>
        <w:t xml:space="preserve">Maintaining an active and professional LinkedIn presence that makes them discoverable</w:t>
      </w:r>
    </w:p>
    <w:p>
      <w:pPr>
        <w:pStyle w:val="ListParagraph"/>
        <w:numPr>
          <w:ilvl w:val="0"/>
          <w:numId w:val="2"/>
        </w:numPr>
        <w:spacing w:after="65" w:before="65"/>
      </w:pPr>
      <w:r>
        <w:rPr>
          <w:rFonts w:ascii="Georgia" w:cs="Georgia" w:eastAsia="Georgia" w:hAnsi="Georgia"/>
          <w:color w:val="374151"/>
          <w:sz w:val="21"/>
          <w:szCs w:val="21"/>
        </w:rPr>
        <w:t xml:space="preserve">Practicing outreach and networking as a regular habit, not a last resort</w:t>
      </w:r>
    </w:p>
    <w:p>
      <w:pPr>
        <w:spacing w:after="110" w:before="110"/>
      </w:pPr>
      <w:r>
        <w:rPr>
          <w:rFonts w:ascii="Georgia" w:cs="Georgia" w:eastAsia="Georgia" w:hAnsi="Georgia"/>
          <w:color w:val="374151"/>
          <w:sz w:val="21"/>
          <w:szCs w:val="21"/>
        </w:rPr>
        <w:t xml:space="preserve">Workforce programs that teach all four of these alongside technical skills produce candidates who don't just qualify for jobs — they know how to pursue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il" w:color="FFFFFF" w:sz="0"/>
              <w:left w:val="nil" w:color="FFFFFF" w:sz="0"/>
              <w:bottom w:val="nil" w:color="FFFFFF" w:sz="0"/>
              <w:right w:val="nil" w:color="FFFFFF" w:sz="0"/>
            </w:tcBorders>
            <w:shd w:fill="2558A8" w:val="clear"/>
            <w:tcMar>
              <w:top w:type="dxa" w:w="0"/>
              <w:left w:type="dxa" w:w="0"/>
              <w:bottom w:type="dxa" w:w="0"/>
              <w:right w:type="dxa" w:w="0"/>
            </w:tcMar>
          </w:tcPr>
          <w:p>
            <w:r>
              <w:rPr>
                <w:rFonts w:ascii="Arial" w:cs="Arial" w:eastAsia="Arial" w:hAnsi="Arial"/>
                <w:color w:val="374151"/>
                <w:sz w:val="20"/>
                <w:szCs w:val="20"/>
              </w:rPr>
              <w:t xml:space="preserve"/>
            </w:r>
          </w:p>
        </w:tc>
        <w:tc>
          <w:tcPr>
            <w:tcW w:type="dxa" w:w="9140"/>
            <w:tcBorders>
              <w:top w:val="nil" w:color="FFFFFF" w:sz="0"/>
              <w:left w:val="nil" w:color="FFFFFF" w:sz="0"/>
              <w:bottom w:val="nil" w:color="FFFFFF" w:sz="0"/>
              <w:right w:val="nil" w:color="FFFFFF" w:sz="0"/>
            </w:tcBorders>
            <w:shd w:fill="EBF2FC" w:val="clear"/>
            <w:tcMar>
              <w:top w:type="dxa" w:w="160"/>
              <w:left w:type="dxa" w:w="220"/>
              <w:bottom w:type="dxa" w:w="160"/>
              <w:right w:type="dxa" w:w="220"/>
            </w:tcMar>
          </w:tcPr>
          <w:p>
            <w:r>
              <w:rPr>
                <w:rFonts w:ascii="Georgia" w:cs="Georgia" w:eastAsia="Georgia" w:hAnsi="Georgia"/>
                <w:b/>
                <w:bCs/>
                <w:i/>
                <w:iCs/>
                <w:color w:val="1E3A5F"/>
                <w:sz w:val="22"/>
                <w:szCs w:val="22"/>
              </w:rPr>
              <w:t xml:space="preserve">The gap between a qualified candidate and a hired one is often a job search literacy gap, not a skills gap.</w:t>
            </w:r>
          </w:p>
        </w:tc>
      </w:tr>
    </w:tbl>
    <w:p>
      <w:pPr>
        <w:spacing w:after="110" w:before="110"/>
      </w:pPr>
      <w:r>
        <w:rPr>
          <w:rFonts w:ascii="Georgia" w:cs="Georgia" w:eastAsia="Georgia" w:hAnsi="Georgia"/>
          <w:color w:val="374151"/>
          <w:sz w:val="21"/>
          <w:szCs w:val="21"/>
        </w:rPr>
        <w:t xml:space="preserve">That's a gap we can close. It starts with honest conversations about what's actually happening inside the process — and what candidates can do about it.</w:t>
      </w:r>
    </w:p>
    <w:p>
      <w:pPr>
        <w:spacing w:after="0" w:before="120"/>
      </w:pPr>
      <w:r>
        <w:t xml:space="preserve"/>
      </w:r>
    </w:p>
    <w:p>
      <w:pPr>
        <w:pBdr>
          <w:top w:val="single" w:color="C8DAF5" w:sz="4" w:space="3"/>
        </w:pBdr>
        <w:spacing w:after="0" w:before="60"/>
      </w:pPr>
      <w:r>
        <w:rPr>
          <w:rFonts w:ascii="Arial" w:cs="Arial" w:eastAsia="Arial" w:hAnsi="Arial"/>
          <w:i/>
          <w:iCs/>
          <w:color w:val="6B7280"/>
          <w:sz w:val="16"/>
          <w:szCs w:val="16"/>
        </w:rPr>
        <w:t xml:space="preserve">Sources: SHRM  •  LinkedIn Workforce Reports  •  HR Research &amp; Hiring Manager Evaluation Guides  •  Recruiter Practitioner Interviews  •  Workforce Development Resources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rPr>
        <w:color w:val="2558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286F105BDD214FA81D4A6BFB238CC4" ma:contentTypeVersion="19" ma:contentTypeDescription="Create a new document." ma:contentTypeScope="" ma:versionID="fe64a8a06ac5abb6f1946da17dd894f6">
  <xsd:schema xmlns:xsd="http://www.w3.org/2001/XMLSchema" xmlns:xs="http://www.w3.org/2001/XMLSchema" xmlns:p="http://schemas.microsoft.com/office/2006/metadata/properties" xmlns:ns2="991a20c6-7779-4c7e-8e3a-acf878330878" xmlns:ns3="194603e3-38c2-4ee5-8f94-33c99f98e49d" targetNamespace="http://schemas.microsoft.com/office/2006/metadata/properties" ma:root="true" ma:fieldsID="39ee7167373acdab14387c30e3645137" ns2:_="" ns3:_="">
    <xsd:import namespace="991a20c6-7779-4c7e-8e3a-acf878330878"/>
    <xsd:import namespace="194603e3-38c2-4ee5-8f94-33c99f98e4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SearchProperties" minOccurs="0"/>
                <xsd:element ref="ns3:MediaLengthInSeconds" minOccurs="0"/>
                <xsd:element ref="ns3:Videoinfo"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1a20c6-7779-4c7e-8e3a-acf8783308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7b50ae-e15c-491e-9502-aec67d0a10f6}" ma:internalName="TaxCatchAll" ma:showField="CatchAllData" ma:web="991a20c6-7779-4c7e-8e3a-acf8783308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4603e3-38c2-4ee5-8f94-33c99f98e4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468a54d-6a37-4c52-9176-b0e2c72a8f97"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Videoinfo" ma:index="24" nillable="true" ma:displayName="Video info" ma:format="Dropdown" ma:internalName="Videoinfo">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1a20c6-7779-4c7e-8e3a-acf878330878" xsi:nil="true"/>
    <lcf76f155ced4ddcb4097134ff3c332f xmlns="194603e3-38c2-4ee5-8f94-33c99f98e49d">
      <Terms xmlns="http://schemas.microsoft.com/office/infopath/2007/PartnerControls"/>
    </lcf76f155ced4ddcb4097134ff3c332f>
    <Videoinfo xmlns="194603e3-38c2-4ee5-8f94-33c99f98e49d" xsi:nil="true"/>
  </documentManagement>
</p:properties>
</file>

<file path=customXml/itemProps1.xml><?xml version="1.0" encoding="utf-8"?>
<ds:datastoreItem xmlns:ds="http://schemas.openxmlformats.org/officeDocument/2006/customXml" ds:itemID="{DFD9CB3B-6E69-4B07-973B-1D1674BA8088}"/>
</file>

<file path=customXml/itemProps2.xml><?xml version="1.0" encoding="utf-8"?>
<ds:datastoreItem xmlns:ds="http://schemas.openxmlformats.org/officeDocument/2006/customXml" ds:itemID="{01581246-35C5-4DFE-8B3C-22E84A328916}"/>
</file>

<file path=customXml/itemProps3.xml><?xml version="1.0" encoding="utf-8"?>
<ds:datastoreItem xmlns:ds="http://schemas.openxmlformats.org/officeDocument/2006/customXml" ds:itemID="{5F09DEC8-C3C4-4F03-A174-99FB61C5FB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2026-03-05T18:40:49Z</dcterms:created>
  <dcterms:modified xsi:type="dcterms:W3CDTF">2026-03-05T18:40:49Z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0x010100AD286F105BDD214FA81D4A6BFB238CC4</vt:lpwstr>
  </property>
</Properties>
</file>