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PES UNIVERSITY, BANGALORE</w:t>
        <w:br/>
      </w:r>
      <w:r>
        <w:rPr>
          <w:b/>
          <w:sz w:val="40"/>
        </w:rPr>
        <w:t>VEHICLE PARKING SYSTEM</w:t>
        <w:br/>
      </w:r>
      <w:r>
        <w:rPr>
          <w:b/>
          <w:sz w:val="30"/>
        </w:rPr>
        <w:t>FINAL SOFTWARE ENGINEERING DELIVERABLES</w:t>
      </w:r>
    </w:p>
    <w:p>
      <w:pPr>
        <w:jc w:val="center"/>
      </w:pPr>
      <w:r>
        <w:rPr>
          <w:i/>
        </w:rPr>
        <w:t>Team 10 | Department of Computer Science and Engineering</w:t>
        <w:br/>
        <w:t>Version 1.0 | Final Consolidated Submission</w:t>
      </w:r>
    </w:p>
    <w:p>
      <w:r>
        <w:br w:type="page"/>
      </w:r>
    </w:p>
    <w:p>
      <w:pPr>
        <w:pStyle w:val="Heading1"/>
      </w:pPr>
      <w:r>
        <w:t>1. Security Objectives</w:t>
      </w:r>
    </w:p>
    <w:p>
      <w:r>
        <w:t>The following security objectives complement the security requirements defined in the SRS and the STRIDE-based security architecture in the SAD.</w:t>
      </w:r>
    </w:p>
    <w:p>
      <w:r>
        <w:rPr>
          <w:b/>
        </w:rPr>
        <w:t xml:space="preserve">SO-1 — Confidentiality: </w:t>
      </w:r>
      <w:r>
        <w:t>Protect user, authentication, and parking transaction information from unauthorized access, disclosure, or modification.</w:t>
      </w:r>
    </w:p>
    <w:p>
      <w:r>
        <w:rPr>
          <w:b/>
        </w:rPr>
        <w:t xml:space="preserve">SO-2 — Authorization: </w:t>
      </w:r>
      <w:r>
        <w:t>Ensure that only authorized users can perform Staff and Administrator operations and access protected system functions.</w:t>
      </w:r>
    </w:p>
    <w:p>
      <w:r>
        <w:rPr>
          <w:b/>
        </w:rPr>
        <w:t xml:space="preserve">SO-3 — Integrity: </w:t>
      </w:r>
      <w:r>
        <w:t>Maintain the integrity of parking slot allocation, entry/exit records, and fee calculations against unauthorized modification.</w:t>
      </w:r>
    </w:p>
    <w:p>
      <w:pPr>
        <w:pStyle w:val="Heading1"/>
      </w:pPr>
      <w:r>
        <w:t>2. UML Use Case Diagram</w:t>
      </w:r>
    </w:p>
    <w:p>
      <w:r>
        <w:t>The diagram below provides the required project-specific UML use-case model using the three actors defined by the SRS.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9256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_cas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2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1: UML Use Case Diagram — Vehicle Parking System.</w:t>
      </w:r>
    </w:p>
    <w:p>
      <w:pPr>
        <w:pStyle w:val="Heading1"/>
      </w:pPr>
      <w:r>
        <w:t>3. Entity-Relationship Diagram</w:t>
      </w:r>
    </w:p>
    <w:p>
      <w:r>
        <w:t>The ER model uses the four core entities defined by the SRS: User, Vehicle, ParkingSlot, and ParkingTransaction.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1636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6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2: Entity-Relationship Diagram — Vehicle Parking System.</w:t>
      </w:r>
    </w:p>
    <w:p>
      <w:pPr>
        <w:pStyle w:val="Heading1"/>
      </w:pPr>
      <w:r>
        <w:t>4. Component Architecture</w:t>
      </w:r>
    </w:p>
    <w:p>
      <w:r>
        <w:t>The project uses a layered, modular MVC-style architecture separating presentation, business logic, and data persistence. The components correspond to the architecture described in the SAD.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5471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nent_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471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3: UML Component Diagram — Layered Modular Architecture.</w:t>
      </w:r>
    </w:p>
    <w:p>
      <w:pPr>
        <w:pStyle w:val="Heading1"/>
      </w:pPr>
      <w:r>
        <w:t>5. Sequence Diagrams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124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log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4: Sequence Diagram — Registration &amp; Login (REQ-1.1–REQ-1.6).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1246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ent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5: Sequence Diagram — Vehicle Entry &amp; Slot Allocation (REQ-2.1–REQ-2.6).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1246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_exi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2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6: Sequence Diagram — Vehicle Exit &amp; Fee Calculation (REQ-3.1–REQ-3.6).</w:t>
      </w:r>
    </w:p>
    <w:p>
      <w:pPr>
        <w:pStyle w:val="Heading1"/>
      </w:pPr>
      <w:r>
        <w:t>6. Security Validation Test Cases</w:t>
      </w:r>
    </w:p>
    <w:p>
      <w:r>
        <w:t>These security validation cases are added to the Test Plan as a dedicated security-validation section. Actual Result and Status remain for execution by the testing team.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r>
              <w:t>ID</w:t>
            </w:r>
          </w:p>
        </w:tc>
        <w:tc>
          <w:tcPr>
            <w:tcW w:type="dxa" w:w="2045"/>
          </w:tcPr>
          <w:p>
            <w:r>
              <w:t>Test</w:t>
            </w:r>
          </w:p>
        </w:tc>
        <w:tc>
          <w:tcPr>
            <w:tcW w:type="dxa" w:w="2045"/>
          </w:tcPr>
          <w:p>
            <w:r>
              <w:t>Method</w:t>
            </w:r>
          </w:p>
        </w:tc>
        <w:tc>
          <w:tcPr>
            <w:tcW w:type="dxa" w:w="2045"/>
          </w:tcPr>
          <w:p>
            <w:r>
              <w:t>Expected Result</w:t>
            </w:r>
          </w:p>
        </w:tc>
        <w:tc>
          <w:tcPr>
            <w:tcW w:type="dxa" w:w="2045"/>
          </w:tcPr>
          <w:p>
            <w:r>
              <w:t>Traceability</w:t>
            </w:r>
          </w:p>
        </w:tc>
      </w:tr>
      <w:tr>
        <w:tc>
          <w:tcPr>
            <w:tcW w:type="dxa" w:w="2045"/>
            <w:vAlign w:val="center"/>
          </w:tcPr>
          <w:p>
            <w:r>
              <w:t>SEC-01</w:t>
            </w:r>
          </w:p>
        </w:tc>
        <w:tc>
          <w:tcPr>
            <w:tcW w:type="dxa" w:w="2045"/>
            <w:vAlign w:val="center"/>
          </w:tcPr>
          <w:p>
            <w:r>
              <w:t>Password protection</w:t>
            </w:r>
          </w:p>
        </w:tc>
        <w:tc>
          <w:tcPr>
            <w:tcW w:type="dxa" w:w="2045"/>
            <w:vAlign w:val="center"/>
          </w:tcPr>
          <w:p>
            <w:r>
              <w:t>Create a user and inspect the stored user record.</w:t>
            </w:r>
          </w:p>
        </w:tc>
        <w:tc>
          <w:tcPr>
            <w:tcW w:type="dxa" w:w="2045"/>
            <w:vAlign w:val="center"/>
          </w:tcPr>
          <w:p>
            <w:r>
              <w:t>Password is stored as a secure one-way hash; plaintext is not stored or logged.</w:t>
            </w:r>
          </w:p>
        </w:tc>
        <w:tc>
          <w:tcPr>
            <w:tcW w:type="dxa" w:w="2045"/>
            <w:vAlign w:val="center"/>
          </w:tcPr>
          <w:p>
            <w:r>
              <w:t>SO-1 / REQ-1.3</w:t>
            </w:r>
          </w:p>
        </w:tc>
      </w:tr>
      <w:tr>
        <w:tc>
          <w:tcPr>
            <w:tcW w:type="dxa" w:w="2045"/>
            <w:vAlign w:val="center"/>
          </w:tcPr>
          <w:p>
            <w:r>
              <w:t>SEC-02</w:t>
            </w:r>
          </w:p>
        </w:tc>
        <w:tc>
          <w:tcPr>
            <w:tcW w:type="dxa" w:w="2045"/>
            <w:vAlign w:val="center"/>
          </w:tcPr>
          <w:p>
            <w:r>
              <w:t>Unauthorized role access</w:t>
            </w:r>
          </w:p>
        </w:tc>
        <w:tc>
          <w:tcPr>
            <w:tcW w:type="dxa" w:w="2045"/>
            <w:vAlign w:val="center"/>
          </w:tcPr>
          <w:p>
            <w:r>
              <w:t>Access an Admin-only endpoint using an Owner or Staff account.</w:t>
            </w:r>
          </w:p>
        </w:tc>
        <w:tc>
          <w:tcPr>
            <w:tcW w:type="dxa" w:w="2045"/>
            <w:vAlign w:val="center"/>
          </w:tcPr>
          <w:p>
            <w:r>
              <w:t>Request is rejected and protected data is unchanged.</w:t>
            </w:r>
          </w:p>
        </w:tc>
        <w:tc>
          <w:tcPr>
            <w:tcW w:type="dxa" w:w="2045"/>
            <w:vAlign w:val="center"/>
          </w:tcPr>
          <w:p>
            <w:r>
              <w:t>SO-2 / REQ-1.5</w:t>
            </w:r>
          </w:p>
        </w:tc>
      </w:tr>
      <w:tr>
        <w:tc>
          <w:tcPr>
            <w:tcW w:type="dxa" w:w="2045"/>
            <w:vAlign w:val="center"/>
          </w:tcPr>
          <w:p>
            <w:r>
              <w:t>SEC-03</w:t>
            </w:r>
          </w:p>
        </w:tc>
        <w:tc>
          <w:tcPr>
            <w:tcW w:type="dxa" w:w="2045"/>
            <w:vAlign w:val="center"/>
          </w:tcPr>
          <w:p>
            <w:r>
              <w:t>Privileged role injection</w:t>
            </w:r>
          </w:p>
        </w:tc>
        <w:tc>
          <w:tcPr>
            <w:tcW w:type="dxa" w:w="2045"/>
            <w:vAlign w:val="center"/>
          </w:tcPr>
          <w:p>
            <w:r>
              <w:t>Submit public registration with role=Staff or role=Admin.</w:t>
            </w:r>
          </w:p>
        </w:tc>
        <w:tc>
          <w:tcPr>
            <w:tcW w:type="dxa" w:w="2045"/>
            <w:vAlign w:val="center"/>
          </w:tcPr>
          <w:p>
            <w:r>
              <w:t>Server rejects/ignores the supplied privileged role and creates only Owner.</w:t>
            </w:r>
          </w:p>
        </w:tc>
        <w:tc>
          <w:tcPr>
            <w:tcW w:type="dxa" w:w="2045"/>
            <w:vAlign w:val="center"/>
          </w:tcPr>
          <w:p>
            <w:r>
              <w:t>SO-2 / REQ-1.1</w:t>
            </w:r>
          </w:p>
        </w:tc>
      </w:tr>
      <w:tr>
        <w:tc>
          <w:tcPr>
            <w:tcW w:type="dxa" w:w="2045"/>
            <w:vAlign w:val="center"/>
          </w:tcPr>
          <w:p>
            <w:r>
              <w:t>SEC-04</w:t>
            </w:r>
          </w:p>
        </w:tc>
        <w:tc>
          <w:tcPr>
            <w:tcW w:type="dxa" w:w="2045"/>
            <w:vAlign w:val="center"/>
          </w:tcPr>
          <w:p>
            <w:r>
              <w:t>Invalid/expired JWT</w:t>
            </w:r>
          </w:p>
        </w:tc>
        <w:tc>
          <w:tcPr>
            <w:tcW w:type="dxa" w:w="2045"/>
            <w:vAlign w:val="center"/>
          </w:tcPr>
          <w:p>
            <w:r>
              <w:t>Use an invalid or expired token on a protected endpoint.</w:t>
            </w:r>
          </w:p>
        </w:tc>
        <w:tc>
          <w:tcPr>
            <w:tcW w:type="dxa" w:w="2045"/>
            <w:vAlign w:val="center"/>
          </w:tcPr>
          <w:p>
            <w:r>
              <w:t>Server rejects the request and does not expose protected data.</w:t>
            </w:r>
          </w:p>
        </w:tc>
        <w:tc>
          <w:tcPr>
            <w:tcW w:type="dxa" w:w="2045"/>
            <w:vAlign w:val="center"/>
          </w:tcPr>
          <w:p>
            <w:r>
              <w:t>SO-2 / REQ-1.4</w:t>
            </w:r>
          </w:p>
        </w:tc>
      </w:tr>
      <w:tr>
        <w:tc>
          <w:tcPr>
            <w:tcW w:type="dxa" w:w="2045"/>
            <w:vAlign w:val="center"/>
          </w:tcPr>
          <w:p>
            <w:r>
              <w:t>SEC-05</w:t>
            </w:r>
          </w:p>
        </w:tc>
        <w:tc>
          <w:tcPr>
            <w:tcW w:type="dxa" w:w="2045"/>
            <w:vAlign w:val="center"/>
          </w:tcPr>
          <w:p>
            <w:r>
              <w:t>Transport security</w:t>
            </w:r>
          </w:p>
        </w:tc>
        <w:tc>
          <w:tcPr>
            <w:tcW w:type="dxa" w:w="2045"/>
            <w:vAlign w:val="center"/>
          </w:tcPr>
          <w:p>
            <w:r>
              <w:t>Access protected client-server communication in the configured deployment.</w:t>
            </w:r>
          </w:p>
        </w:tc>
        <w:tc>
          <w:tcPr>
            <w:tcW w:type="dxa" w:w="2045"/>
            <w:vAlign w:val="center"/>
          </w:tcPr>
          <w:p>
            <w:r>
              <w:t>Communication uses HTTPS/TLS.</w:t>
            </w:r>
          </w:p>
        </w:tc>
        <w:tc>
          <w:tcPr>
            <w:tcW w:type="dxa" w:w="2045"/>
            <w:vAlign w:val="center"/>
          </w:tcPr>
          <w:p>
            <w:r>
              <w:t>SO-1 / SRS 6.3</w:t>
            </w:r>
          </w:p>
        </w:tc>
      </w:tr>
      <w:tr>
        <w:tc>
          <w:tcPr>
            <w:tcW w:type="dxa" w:w="2045"/>
            <w:vAlign w:val="center"/>
          </w:tcPr>
          <w:p>
            <w:r>
              <w:t>SEC-06</w:t>
            </w:r>
          </w:p>
        </w:tc>
        <w:tc>
          <w:tcPr>
            <w:tcW w:type="dxa" w:w="2045"/>
            <w:vAlign w:val="center"/>
          </w:tcPr>
          <w:p>
            <w:r>
              <w:t>Server-side authorization</w:t>
            </w:r>
          </w:p>
        </w:tc>
        <w:tc>
          <w:tcPr>
            <w:tcW w:type="dxa" w:w="2045"/>
            <w:vAlign w:val="center"/>
          </w:tcPr>
          <w:p>
            <w:r>
              <w:t>Attempt to change slot/pricing configuration without Admin authorization.</w:t>
            </w:r>
          </w:p>
        </w:tc>
        <w:tc>
          <w:tcPr>
            <w:tcW w:type="dxa" w:w="2045"/>
            <w:vAlign w:val="center"/>
          </w:tcPr>
          <w:p>
            <w:r>
              <w:t>Server rejects the operation even if the client is manipulated.</w:t>
            </w:r>
          </w:p>
        </w:tc>
        <w:tc>
          <w:tcPr>
            <w:tcW w:type="dxa" w:w="2045"/>
            <w:vAlign w:val="center"/>
          </w:tcPr>
          <w:p>
            <w:r>
              <w:t>SO-2 / REQ-5.1</w:t>
            </w:r>
          </w:p>
        </w:tc>
      </w:tr>
      <w:tr>
        <w:tc>
          <w:tcPr>
            <w:tcW w:type="dxa" w:w="2045"/>
            <w:vAlign w:val="center"/>
          </w:tcPr>
          <w:p>
            <w:r>
              <w:t>SEC-07</w:t>
            </w:r>
          </w:p>
        </w:tc>
        <w:tc>
          <w:tcPr>
            <w:tcW w:type="dxa" w:w="2045"/>
            <w:vAlign w:val="center"/>
          </w:tcPr>
          <w:p>
            <w:r>
              <w:t>Login protection</w:t>
            </w:r>
          </w:p>
        </w:tc>
        <w:tc>
          <w:tcPr>
            <w:tcW w:type="dxa" w:w="2045"/>
            <w:vAlign w:val="center"/>
          </w:tcPr>
          <w:p>
            <w:r>
              <w:t>Submit incorrect credentials repeatedly according to the defined lockout scenario.</w:t>
            </w:r>
          </w:p>
        </w:tc>
        <w:tc>
          <w:tcPr>
            <w:tcW w:type="dxa" w:w="2045"/>
            <w:vAlign w:val="center"/>
          </w:tcPr>
          <w:p>
            <w:r>
              <w:t>Temporary account protection is triggered and a warning is displayed.</w:t>
            </w:r>
          </w:p>
        </w:tc>
        <w:tc>
          <w:tcPr>
            <w:tcW w:type="dxa" w:w="2045"/>
            <w:vAlign w:val="center"/>
          </w:tcPr>
          <w:p>
            <w:r>
              <w:t>SO-2 / REQ-1.6</w:t>
            </w:r>
          </w:p>
        </w:tc>
      </w:tr>
      <w:tr>
        <w:tc>
          <w:tcPr>
            <w:tcW w:type="dxa" w:w="2045"/>
            <w:vAlign w:val="center"/>
          </w:tcPr>
          <w:p>
            <w:r>
              <w:t>SEC-08</w:t>
            </w:r>
          </w:p>
        </w:tc>
        <w:tc>
          <w:tcPr>
            <w:tcW w:type="dxa" w:w="2045"/>
            <w:vAlign w:val="center"/>
          </w:tcPr>
          <w:p>
            <w:r>
              <w:t>Sensitive logging</w:t>
            </w:r>
          </w:p>
        </w:tc>
        <w:tc>
          <w:tcPr>
            <w:tcW w:type="dxa" w:w="2045"/>
            <w:vAlign w:val="center"/>
          </w:tcPr>
          <w:p>
            <w:r>
              <w:t>Perform authentication and inspect application logs.</w:t>
            </w:r>
          </w:p>
        </w:tc>
        <w:tc>
          <w:tcPr>
            <w:tcW w:type="dxa" w:w="2045"/>
            <w:vAlign w:val="center"/>
          </w:tcPr>
          <w:p>
            <w:r>
              <w:t>Passwords and tokens are not written to logs.</w:t>
            </w:r>
          </w:p>
        </w:tc>
        <w:tc>
          <w:tcPr>
            <w:tcW w:type="dxa" w:w="2045"/>
            <w:vAlign w:val="center"/>
          </w:tcPr>
          <w:p>
            <w:r>
              <w:t>SO-1 / SRS 6.3</w:t>
            </w:r>
          </w:p>
        </w:tc>
      </w:tr>
    </w:tbl>
    <w:p>
      <w:pPr>
        <w:pStyle w:val="Heading1"/>
      </w:pPr>
      <w:r>
        <w:t>7. Non-Functional Test Validation</w:t>
      </w:r>
    </w:p>
    <w:p>
      <w:r>
        <w:t>The existing Test Plan already contains the 12-item Non-Functional Test Checklist. The following finalized wording preserves those existing checks and makes their acceptance conditions explicit.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Category</w:t>
            </w:r>
          </w:p>
        </w:tc>
        <w:tc>
          <w:tcPr>
            <w:tcW w:type="dxa" w:w="2556"/>
          </w:tcPr>
          <w:p>
            <w:r>
              <w:t>Test Condition</w:t>
            </w:r>
          </w:p>
        </w:tc>
        <w:tc>
          <w:tcPr>
            <w:tcW w:type="dxa" w:w="2556"/>
          </w:tcPr>
          <w:p>
            <w:r>
              <w:t>Acceptance Result</w:t>
            </w:r>
          </w:p>
        </w:tc>
      </w:tr>
      <w:tr>
        <w:tc>
          <w:tcPr>
            <w:tcW w:type="dxa" w:w="2556"/>
          </w:tcPr>
          <w:p>
            <w:r>
              <w:t>NFR-01</w:t>
            </w:r>
          </w:p>
        </w:tc>
        <w:tc>
          <w:tcPr>
            <w:tcW w:type="dxa" w:w="2556"/>
          </w:tcPr>
          <w:p>
            <w:r>
              <w:t>Performance</w:t>
            </w:r>
          </w:p>
        </w:tc>
        <w:tc>
          <w:tcPr>
            <w:tcW w:type="dxa" w:w="2556"/>
          </w:tcPr>
          <w:p>
            <w:r>
              <w:t>Slot-availability query</w:t>
            </w:r>
          </w:p>
        </w:tc>
        <w:tc>
          <w:tcPr>
            <w:tcW w:type="dxa" w:w="2556"/>
          </w:tcPr>
          <w:p>
            <w:r>
              <w:t>Within 2 seconds under normal load of up to 100 concurrent users.</w:t>
            </w:r>
          </w:p>
        </w:tc>
      </w:tr>
      <w:tr>
        <w:tc>
          <w:tcPr>
            <w:tcW w:type="dxa" w:w="2556"/>
          </w:tcPr>
          <w:p>
            <w:r>
              <w:t>NFR-02</w:t>
            </w:r>
          </w:p>
        </w:tc>
        <w:tc>
          <w:tcPr>
            <w:tcW w:type="dxa" w:w="2556"/>
          </w:tcPr>
          <w:p>
            <w:r>
              <w:t>Performance</w:t>
            </w:r>
          </w:p>
        </w:tc>
        <w:tc>
          <w:tcPr>
            <w:tcW w:type="dxa" w:w="2556"/>
          </w:tcPr>
          <w:p>
            <w:r>
              <w:t>Vehicle entry/exit operation</w:t>
            </w:r>
          </w:p>
        </w:tc>
        <w:tc>
          <w:tcPr>
            <w:tcW w:type="dxa" w:w="2556"/>
          </w:tcPr>
          <w:p>
            <w:r>
              <w:t>Within 3 seconds including allocation/release.</w:t>
            </w:r>
          </w:p>
        </w:tc>
      </w:tr>
      <w:tr>
        <w:tc>
          <w:tcPr>
            <w:tcW w:type="dxa" w:w="2556"/>
          </w:tcPr>
          <w:p>
            <w:r>
              <w:t>NFR-03</w:t>
            </w:r>
          </w:p>
        </w:tc>
        <w:tc>
          <w:tcPr>
            <w:tcW w:type="dxa" w:w="2556"/>
          </w:tcPr>
          <w:p>
            <w:r>
              <w:t>Performance</w:t>
            </w:r>
          </w:p>
        </w:tc>
        <w:tc>
          <w:tcPr>
            <w:tcW w:type="dxa" w:w="2556"/>
          </w:tcPr>
          <w:p>
            <w:r>
              <w:t>Daily transaction capacity</w:t>
            </w:r>
          </w:p>
        </w:tc>
        <w:tc>
          <w:tcPr>
            <w:tcW w:type="dxa" w:w="2556"/>
          </w:tcPr>
          <w:p>
            <w:r>
              <w:t>At least 500 parking transactions per day without performance degradation.</w:t>
            </w:r>
          </w:p>
        </w:tc>
      </w:tr>
      <w:tr>
        <w:tc>
          <w:tcPr>
            <w:tcW w:type="dxa" w:w="2556"/>
          </w:tcPr>
          <w:p>
            <w:r>
              <w:t>NFR-04</w:t>
            </w:r>
          </w:p>
        </w:tc>
        <w:tc>
          <w:tcPr>
            <w:tcW w:type="dxa" w:w="2556"/>
          </w:tcPr>
          <w:p>
            <w:r>
              <w:t>Safety</w:t>
            </w:r>
          </w:p>
        </w:tc>
        <w:tc>
          <w:tcPr>
            <w:tcW w:type="dxa" w:w="2556"/>
          </w:tcPr>
          <w:p>
            <w:r>
              <w:t>Active transaction deletion</w:t>
            </w:r>
          </w:p>
        </w:tc>
        <w:tc>
          <w:tcPr>
            <w:tcW w:type="dxa" w:w="2556"/>
          </w:tcPr>
          <w:p>
            <w:r>
              <w:t>Active/in-progress parking transactions cannot be deleted.</w:t>
            </w:r>
          </w:p>
        </w:tc>
      </w:tr>
      <w:tr>
        <w:tc>
          <w:tcPr>
            <w:tcW w:type="dxa" w:w="2556"/>
          </w:tcPr>
          <w:p>
            <w:r>
              <w:t>NFR-05</w:t>
            </w:r>
          </w:p>
        </w:tc>
        <w:tc>
          <w:tcPr>
            <w:tcW w:type="dxa" w:w="2556"/>
          </w:tcPr>
          <w:p>
            <w:r>
              <w:t>Safety/Audit</w:t>
            </w:r>
          </w:p>
        </w:tc>
        <w:tc>
          <w:tcPr>
            <w:tcW w:type="dxa" w:w="2556"/>
          </w:tcPr>
          <w:p>
            <w:r>
              <w:t>Audit trail</w:t>
            </w:r>
          </w:p>
        </w:tc>
        <w:tc>
          <w:tcPr>
            <w:tcW w:type="dxa" w:w="2556"/>
          </w:tcPr>
          <w:p>
            <w:r>
              <w:t>Entry, exit, and administrative configuration changes are recorded.</w:t>
            </w:r>
          </w:p>
        </w:tc>
      </w:tr>
      <w:tr>
        <w:tc>
          <w:tcPr>
            <w:tcW w:type="dxa" w:w="2556"/>
          </w:tcPr>
          <w:p>
            <w:r>
              <w:t>NFR-06</w:t>
            </w:r>
          </w:p>
        </w:tc>
        <w:tc>
          <w:tcPr>
            <w:tcW w:type="dxa" w:w="2556"/>
          </w:tcPr>
          <w:p>
            <w:r>
              <w:t>Security</w:t>
            </w:r>
          </w:p>
        </w:tc>
        <w:tc>
          <w:tcPr>
            <w:tcW w:type="dxa" w:w="2556"/>
          </w:tcPr>
          <w:p>
            <w:r>
              <w:t>Password protection</w:t>
            </w:r>
          </w:p>
        </w:tc>
        <w:tc>
          <w:tcPr>
            <w:tcW w:type="dxa" w:w="2556"/>
          </w:tcPr>
          <w:p>
            <w:r>
              <w:t>Passwords are hashed and plaintext passwords are not stored or logged.</w:t>
            </w:r>
          </w:p>
        </w:tc>
      </w:tr>
      <w:tr>
        <w:tc>
          <w:tcPr>
            <w:tcW w:type="dxa" w:w="2556"/>
          </w:tcPr>
          <w:p>
            <w:r>
              <w:t>NFR-07</w:t>
            </w:r>
          </w:p>
        </w:tc>
        <w:tc>
          <w:tcPr>
            <w:tcW w:type="dxa" w:w="2556"/>
          </w:tcPr>
          <w:p>
            <w:r>
              <w:t>Security</w:t>
            </w:r>
          </w:p>
        </w:tc>
        <w:tc>
          <w:tcPr>
            <w:tcW w:type="dxa" w:w="2556"/>
          </w:tcPr>
          <w:p>
            <w:r>
              <w:t>Transport security</w:t>
            </w:r>
          </w:p>
        </w:tc>
        <w:tc>
          <w:tcPr>
            <w:tcW w:type="dxa" w:w="2556"/>
          </w:tcPr>
          <w:p>
            <w:r>
              <w:t>Client-server communication uses HTTPS/TLS.</w:t>
            </w:r>
          </w:p>
        </w:tc>
      </w:tr>
      <w:tr>
        <w:tc>
          <w:tcPr>
            <w:tcW w:type="dxa" w:w="2556"/>
          </w:tcPr>
          <w:p>
            <w:r>
              <w:t>NFR-08</w:t>
            </w:r>
          </w:p>
        </w:tc>
        <w:tc>
          <w:tcPr>
            <w:tcW w:type="dxa" w:w="2556"/>
          </w:tcPr>
          <w:p>
            <w:r>
              <w:t>Security</w:t>
            </w:r>
          </w:p>
        </w:tc>
        <w:tc>
          <w:tcPr>
            <w:tcW w:type="dxa" w:w="2556"/>
          </w:tcPr>
          <w:p>
            <w:r>
              <w:t>RBAC</w:t>
            </w:r>
          </w:p>
        </w:tc>
        <w:tc>
          <w:tcPr>
            <w:tcW w:type="dxa" w:w="2556"/>
          </w:tcPr>
          <w:p>
            <w:r>
              <w:t>Role-based access control is enforced on client and protected server endpoints.</w:t>
            </w:r>
          </w:p>
        </w:tc>
      </w:tr>
      <w:tr>
        <w:tc>
          <w:tcPr>
            <w:tcW w:type="dxa" w:w="2556"/>
          </w:tcPr>
          <w:p>
            <w:r>
              <w:t>NFR-09</w:t>
            </w:r>
          </w:p>
        </w:tc>
        <w:tc>
          <w:tcPr>
            <w:tcW w:type="dxa" w:w="2556"/>
          </w:tcPr>
          <w:p>
            <w:r>
              <w:t>Security</w:t>
            </w:r>
          </w:p>
        </w:tc>
        <w:tc>
          <w:tcPr>
            <w:tcW w:type="dxa" w:w="2556"/>
          </w:tcPr>
          <w:p>
            <w:r>
              <w:t>JWT expiry</w:t>
            </w:r>
          </w:p>
        </w:tc>
        <w:tc>
          <w:tcPr>
            <w:tcW w:type="dxa" w:w="2556"/>
          </w:tcPr>
          <w:p>
            <w:r>
              <w:t>JWT session tokens expire after the configured inactivity period.</w:t>
            </w:r>
          </w:p>
        </w:tc>
      </w:tr>
      <w:tr>
        <w:tc>
          <w:tcPr>
            <w:tcW w:type="dxa" w:w="2556"/>
          </w:tcPr>
          <w:p>
            <w:r>
              <w:t>NFR-10</w:t>
            </w:r>
          </w:p>
        </w:tc>
        <w:tc>
          <w:tcPr>
            <w:tcW w:type="dxa" w:w="2556"/>
          </w:tcPr>
          <w:p>
            <w:r>
              <w:t>Usability</w:t>
            </w:r>
          </w:p>
        </w:tc>
        <w:tc>
          <w:tcPr>
            <w:tcW w:type="dxa" w:w="2556"/>
          </w:tcPr>
          <w:p>
            <w:r>
              <w:t>Staff workflow</w:t>
            </w:r>
          </w:p>
        </w:tc>
        <w:tc>
          <w:tcPr>
            <w:tcW w:type="dxa" w:w="2556"/>
          </w:tcPr>
          <w:p>
            <w:r>
              <w:t>Gate staff can complete an entry or exit in three clicks or fewer.</w:t>
            </w:r>
          </w:p>
        </w:tc>
      </w:tr>
      <w:tr>
        <w:tc>
          <w:tcPr>
            <w:tcW w:type="dxa" w:w="2556"/>
          </w:tcPr>
          <w:p>
            <w:r>
              <w:t>NFR-11</w:t>
            </w:r>
          </w:p>
        </w:tc>
        <w:tc>
          <w:tcPr>
            <w:tcW w:type="dxa" w:w="2556"/>
          </w:tcPr>
          <w:p>
            <w:r>
              <w:t>Reliability</w:t>
            </w:r>
          </w:p>
        </w:tc>
        <w:tc>
          <w:tcPr>
            <w:tcW w:type="dxa" w:w="2556"/>
          </w:tcPr>
          <w:p>
            <w:r>
              <w:t>Restart recovery</w:t>
            </w:r>
          </w:p>
        </w:tc>
        <w:tc>
          <w:tcPr>
            <w:tcW w:type="dxa" w:w="2556"/>
          </w:tcPr>
          <w:p>
            <w:r>
              <w:t>Slot status remains correctly reconciled after a server restart.</w:t>
            </w:r>
          </w:p>
        </w:tc>
      </w:tr>
      <w:tr>
        <w:tc>
          <w:tcPr>
            <w:tcW w:type="dxa" w:w="2556"/>
          </w:tcPr>
          <w:p>
            <w:r>
              <w:t>NFR-12</w:t>
            </w:r>
          </w:p>
        </w:tc>
        <w:tc>
          <w:tcPr>
            <w:tcW w:type="dxa" w:w="2556"/>
          </w:tcPr>
          <w:p>
            <w:r>
              <w:t>Portability</w:t>
            </w:r>
          </w:p>
        </w:tc>
        <w:tc>
          <w:tcPr>
            <w:tcW w:type="dxa" w:w="2556"/>
          </w:tcPr>
          <w:p>
            <w:r>
              <w:t>Browser support</w:t>
            </w:r>
          </w:p>
        </w:tc>
        <w:tc>
          <w:tcPr>
            <w:tcW w:type="dxa" w:w="2556"/>
          </w:tcPr>
          <w:p>
            <w:r>
              <w:t>Web client functions on the latest two major versions of Chrome, Firefox, and Edge.</w:t>
            </w:r>
          </w:p>
        </w:tc>
      </w:tr>
    </w:tbl>
    <w:p>
      <w:pPr>
        <w:pStyle w:val="Heading1"/>
      </w:pPr>
      <w:r>
        <w:t>8. Corrected Requirement Traceability Matrix</w:t>
      </w:r>
    </w:p>
    <w:p>
      <w:r>
        <w:t>The Test Plan contains 40 functional test cases: 15 Unit, 15 Integration, and 10 System tests. The corrected RTM below aligns the system-test references with the actual Test Plan numbering.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Requirement</w:t>
            </w:r>
          </w:p>
        </w:tc>
        <w:tc>
          <w:tcPr>
            <w:tcW w:type="dxa" w:w="1704"/>
          </w:tcPr>
          <w:p>
            <w:r>
              <w:t>Description</w:t>
            </w:r>
          </w:p>
        </w:tc>
        <w:tc>
          <w:tcPr>
            <w:tcW w:type="dxa" w:w="1704"/>
          </w:tcPr>
          <w:p>
            <w:r>
              <w:t>Architecture Reference</w:t>
            </w:r>
          </w:p>
        </w:tc>
        <w:tc>
          <w:tcPr>
            <w:tcW w:type="dxa" w:w="1704"/>
          </w:tcPr>
          <w:p>
            <w:r>
              <w:t>Design Reference</w:t>
            </w:r>
          </w:p>
        </w:tc>
        <w:tc>
          <w:tcPr>
            <w:tcW w:type="dxa" w:w="1704"/>
          </w:tcPr>
          <w:p>
            <w:r>
              <w:t>Unit/Integration Tests</w:t>
            </w:r>
          </w:p>
        </w:tc>
        <w:tc>
          <w:tcPr>
            <w:tcW w:type="dxa" w:w="1704"/>
          </w:tcPr>
          <w:p>
            <w:r>
              <w:t>System Tests</w:t>
            </w:r>
          </w:p>
        </w:tc>
      </w:tr>
      <w:tr>
        <w:tc>
          <w:tcPr>
            <w:tcW w:type="dxa" w:w="1704"/>
          </w:tcPr>
          <w:p>
            <w:r>
              <w:t>REQ-1.1–REQ-1.6</w:t>
            </w:r>
          </w:p>
        </w:tc>
        <w:tc>
          <w:tcPr>
            <w:tcW w:type="dxa" w:w="1704"/>
          </w:tcPr>
          <w:p>
            <w:r>
              <w:t>Registration &amp; Authentication</w:t>
            </w:r>
          </w:p>
        </w:tc>
        <w:tc>
          <w:tcPr>
            <w:tcW w:type="dxa" w:w="1704"/>
          </w:tcPr>
          <w:p>
            <w:r>
              <w:t>Authentication Module</w:t>
            </w:r>
          </w:p>
        </w:tc>
        <w:tc>
          <w:tcPr>
            <w:tcW w:type="dxa" w:w="1704"/>
          </w:tcPr>
          <w:p>
            <w:r>
              <w:t>Auth Module Design</w:t>
            </w:r>
          </w:p>
        </w:tc>
        <w:tc>
          <w:tcPr>
            <w:tcW w:type="dxa" w:w="1704"/>
          </w:tcPr>
          <w:p>
            <w:r>
              <w:t>UT_01–UT_03; IT_01–IT_03; IT_16–IT_17</w:t>
            </w:r>
          </w:p>
        </w:tc>
        <w:tc>
          <w:tcPr>
            <w:tcW w:type="dxa" w:w="1704"/>
          </w:tcPr>
          <w:p>
            <w:r>
              <w:t>ST_01–ST_02</w:t>
            </w:r>
          </w:p>
        </w:tc>
      </w:tr>
      <w:tr>
        <w:tc>
          <w:tcPr>
            <w:tcW w:type="dxa" w:w="1704"/>
          </w:tcPr>
          <w:p>
            <w:r>
              <w:t>REQ-2.1–REQ-2.6</w:t>
            </w:r>
          </w:p>
        </w:tc>
        <w:tc>
          <w:tcPr>
            <w:tcW w:type="dxa" w:w="1704"/>
          </w:tcPr>
          <w:p>
            <w:r>
              <w:t>Vehicle Entry &amp; Slot Allocation</w:t>
            </w:r>
          </w:p>
        </w:tc>
        <w:tc>
          <w:tcPr>
            <w:tcW w:type="dxa" w:w="1704"/>
          </w:tcPr>
          <w:p>
            <w:r>
              <w:t>Entry &amp; Slot Allocation Module</w:t>
            </w:r>
          </w:p>
        </w:tc>
        <w:tc>
          <w:tcPr>
            <w:tcW w:type="dxa" w:w="1704"/>
          </w:tcPr>
          <w:p>
            <w:r>
              <w:t>Entry Module Design</w:t>
            </w:r>
          </w:p>
        </w:tc>
        <w:tc>
          <w:tcPr>
            <w:tcW w:type="dxa" w:w="1704"/>
          </w:tcPr>
          <w:p>
            <w:r>
              <w:t>UT_04–UT_06; IT_04–IT_06</w:t>
            </w:r>
          </w:p>
        </w:tc>
        <w:tc>
          <w:tcPr>
            <w:tcW w:type="dxa" w:w="1704"/>
          </w:tcPr>
          <w:p>
            <w:r>
              <w:t>ST_03–ST_04</w:t>
            </w:r>
          </w:p>
        </w:tc>
      </w:tr>
      <w:tr>
        <w:tc>
          <w:tcPr>
            <w:tcW w:type="dxa" w:w="1704"/>
          </w:tcPr>
          <w:p>
            <w:r>
              <w:t>REQ-3.1–REQ-3.6</w:t>
            </w:r>
          </w:p>
        </w:tc>
        <w:tc>
          <w:tcPr>
            <w:tcW w:type="dxa" w:w="1704"/>
          </w:tcPr>
          <w:p>
            <w:r>
              <w:t>Vehicle Exit &amp; Fee Calculation</w:t>
            </w:r>
          </w:p>
        </w:tc>
        <w:tc>
          <w:tcPr>
            <w:tcW w:type="dxa" w:w="1704"/>
          </w:tcPr>
          <w:p>
            <w:r>
              <w:t>Exit &amp; Billing Module</w:t>
            </w:r>
          </w:p>
        </w:tc>
        <w:tc>
          <w:tcPr>
            <w:tcW w:type="dxa" w:w="1704"/>
          </w:tcPr>
          <w:p>
            <w:r>
              <w:t>Exit/Billing Module Design</w:t>
            </w:r>
          </w:p>
        </w:tc>
        <w:tc>
          <w:tcPr>
            <w:tcW w:type="dxa" w:w="1704"/>
          </w:tcPr>
          <w:p>
            <w:r>
              <w:t>UT_07–UT_09; IT_07–IT_09</w:t>
            </w:r>
          </w:p>
        </w:tc>
        <w:tc>
          <w:tcPr>
            <w:tcW w:type="dxa" w:w="1704"/>
          </w:tcPr>
          <w:p>
            <w:r>
              <w:t>ST_05–ST_06</w:t>
            </w:r>
          </w:p>
        </w:tc>
      </w:tr>
      <w:tr>
        <w:tc>
          <w:tcPr>
            <w:tcW w:type="dxa" w:w="1704"/>
          </w:tcPr>
          <w:p>
            <w:r>
              <w:t>REQ-4.1–REQ-4.4</w:t>
            </w:r>
          </w:p>
        </w:tc>
        <w:tc>
          <w:tcPr>
            <w:tcW w:type="dxa" w:w="1704"/>
          </w:tcPr>
          <w:p>
            <w:r>
              <w:t>Real-Time Slot Availability</w:t>
            </w:r>
          </w:p>
        </w:tc>
        <w:tc>
          <w:tcPr>
            <w:tcW w:type="dxa" w:w="1704"/>
          </w:tcPr>
          <w:p>
            <w:r>
              <w:t>Dashboard / Real-Time Module</w:t>
            </w:r>
          </w:p>
        </w:tc>
        <w:tc>
          <w:tcPr>
            <w:tcW w:type="dxa" w:w="1704"/>
          </w:tcPr>
          <w:p>
            <w:r>
              <w:t>Dashboard Module Design</w:t>
            </w:r>
          </w:p>
        </w:tc>
        <w:tc>
          <w:tcPr>
            <w:tcW w:type="dxa" w:w="1704"/>
          </w:tcPr>
          <w:p>
            <w:r>
              <w:t>UT_10–UT_12; IT_10–IT_12</w:t>
            </w:r>
          </w:p>
        </w:tc>
        <w:tc>
          <w:tcPr>
            <w:tcW w:type="dxa" w:w="1704"/>
          </w:tcPr>
          <w:p>
            <w:r>
              <w:t>ST_07–ST_08</w:t>
            </w:r>
          </w:p>
        </w:tc>
      </w:tr>
      <w:tr>
        <w:tc>
          <w:tcPr>
            <w:tcW w:type="dxa" w:w="1704"/>
          </w:tcPr>
          <w:p>
            <w:r>
              <w:t>REQ-5.1–REQ-5.5</w:t>
            </w:r>
          </w:p>
        </w:tc>
        <w:tc>
          <w:tcPr>
            <w:tcW w:type="dxa" w:w="1704"/>
          </w:tcPr>
          <w:p>
            <w:r>
              <w:t>Admin Dashboard &amp; Reporting</w:t>
            </w:r>
          </w:p>
        </w:tc>
        <w:tc>
          <w:tcPr>
            <w:tcW w:type="dxa" w:w="1704"/>
          </w:tcPr>
          <w:p>
            <w:r>
              <w:t>Admin Module</w:t>
            </w:r>
          </w:p>
        </w:tc>
        <w:tc>
          <w:tcPr>
            <w:tcW w:type="dxa" w:w="1704"/>
          </w:tcPr>
          <w:p>
            <w:r>
              <w:t>Admin Module Design</w:t>
            </w:r>
          </w:p>
        </w:tc>
        <w:tc>
          <w:tcPr>
            <w:tcW w:type="dxa" w:w="1704"/>
          </w:tcPr>
          <w:p>
            <w:r>
              <w:t>UT_13–UT_15; IT_13–IT_15</w:t>
            </w:r>
          </w:p>
        </w:tc>
        <w:tc>
          <w:tcPr>
            <w:tcW w:type="dxa" w:w="1704"/>
          </w:tcPr>
          <w:p>
            <w:r>
              <w:t>ST_09–ST_10</w:t>
            </w:r>
          </w:p>
        </w:tc>
      </w:tr>
    </w:tbl>
    <w:p>
      <w:pPr>
        <w:pStyle w:val="Heading1"/>
      </w:pPr>
      <w:r>
        <w:t>9. Final Architecture and Design References</w:t>
      </w:r>
    </w:p>
    <w:p>
      <w:r>
        <w:rPr>
          <w:b/>
        </w:rPr>
        <w:t xml:space="preserve">Architecture Pattern: </w:t>
      </w:r>
      <w:r>
        <w:t>Layered, modular MVC-style architecture separating presentation, business logic, and data persistence.</w:t>
      </w:r>
    </w:p>
    <w:p>
      <w:r>
        <w:rPr>
          <w:b/>
        </w:rPr>
        <w:t xml:space="preserve">Technology Stack: </w:t>
      </w:r>
      <w:r>
        <w:t>React.js 18.x, Express.js 4.x on Node.js 18+, MongoDB 6.x, JWT, bcrypt, and WebSockets/Socket.IO or short-interval polling.</w:t>
      </w:r>
    </w:p>
    <w:p>
      <w:r>
        <w:rPr>
          <w:b/>
        </w:rPr>
        <w:t xml:space="preserve">Core Modules: </w:t>
      </w:r>
      <w:r>
        <w:t>Authentication; Entry &amp; Slot Allocation; Exit &amp; Billing; Dashboard / Real-Time; Admin Module; MongoDB data layer.</w:t>
      </w:r>
    </w:p>
    <w:p>
      <w:r>
        <w:rPr>
          <w:b/>
        </w:rPr>
        <w:t xml:space="preserve">Security Architecture: </w:t>
      </w:r>
      <w:r>
        <w:t>STRIDE-based controls covering spoofing, tampering, information disclosure, denial of service, and elevation of privilege.</w:t>
      </w:r>
    </w:p>
    <w:p>
      <w:r>
        <w:rPr>
          <w:b/>
        </w:rPr>
        <w:t xml:space="preserve">API Design: </w:t>
      </w:r>
      <w:r>
        <w:t>REST endpoints for registration, login, entry, exit, slots, reports, admin slots, and admin user management; slotUpdate is broadcast through the real-time channel.</w:t>
      </w:r>
    </w:p>
    <w:p>
      <w:r>
        <w:rPr>
          <w:b/>
        </w:rPr>
        <w:t xml:space="preserve">Error Handling &amp; Monitoring: </w:t>
      </w:r>
      <w:r>
        <w:t>Standard JSON API responses; no sensitive information in logs; audit trail for entry, exit, and administrative configuration changes; monitoring of slot allocation failures, parking duration, and API response times.</w:t>
      </w:r>
    </w:p>
    <w:p>
      <w:pPr>
        <w:pStyle w:val="Heading1"/>
      </w:pPr>
      <w:r>
        <w:t>10. Final Submission Status</w:t>
      </w:r>
    </w:p>
    <w:p>
      <w:r>
        <w:t>The project documentation now contains the missing project-specific security objectives, UML use-case model, ER model, component architecture, three sequence diagrams, dedicated security validation cases, the finalized non-functional acceptance conditions, and a corrected RTM aligned to the current 40-test Test Plan.</w:t>
      </w:r>
    </w:p>
    <w:p>
      <w:r>
        <w:t>Execution-dependent fields such as Actual Result, Status, Passed/Failed counts, and defect observations must remain blank until the team executes the tests. This is intentional and prevents the document from claiming unverified test results.</w:t>
      </w:r>
    </w:p>
    <w:sectPr w:rsidR="00FC693F" w:rsidRPr="0006063C" w:rsidSect="00034616">
      <w:footerReference w:type="defaul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Vehicle Parking System — Team 10 | Final Software Engineering Deliverables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