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 Id="Rdc76b629c7224ebb" Type="http://schemas.openxmlformats.org/officeDocument/2006/relationships/extended-properties" Target="docProps/app.xml"/></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w:pPr>
        <w:pStyle w:val="Title"/>
        <w:jc w:val="center"/>
      </w:pPr>
      <w:r>
        <w:t>Software Architecture and Design Specification</w:t>
      </w:r>
    </w:p>
    <w:p>
      <w:pPr>
        <w:jc w:val="center"/>
      </w:pPr>
      <w:r>
        <w:rPr>
          <w:b/>
          <w:sz w:val="24"/>
        </w:rPr>
        <w:t>Project: Online Bookstore</w:t>
      </w:r>
    </w:p>
    <w:p>
      <w:pPr>
        <w:jc w:val="center"/>
      </w:pPr>
      <w:r>
        <w:rPr>
          <w:b/>
          <w:sz w:val="24"/>
        </w:rPr>
        <w:t>Version: 1.0</w:t>
      </w:r>
    </w:p>
    <w:p>
      <w:pPr>
        <w:jc w:val="center"/>
      </w:pPr>
      <w:r>
        <w:rPr>
          <w:b w:val="0"/>
          <w:sz w:val="24"/>
        </w:rPr>
        <w:t>Authors: Group 2</w:t>
      </w:r>
    </w:p>
    <w:p>
      <w:pPr>
        <w:jc w:val="center"/>
      </w:pPr>
      <w:r>
        <w:rPr>
          <w:b w:val="0"/>
          <w:sz w:val="24"/>
        </w:rPr>
        <w:t>Date: 05-10-2026</w:t>
      </w:r>
    </w:p>
    <w:p>
      <w:pPr>
        <w:jc w:val="center"/>
      </w:pPr>
      <w:r>
        <w:rPr>
          <w:b w:val="0"/>
          <w:sz w:val="24"/>
        </w:rPr>
        <w:t>Status: Draft for Submission</w:t>
      </w:r>
    </w:p>
    <w:p>
      <w:pPr>
        <w:spacing w:after="100" w:line="259" w:lineRule="auto"/>
      </w:pPr>
      <w:r>
        <w:t>A multi-seller e-commerce platform for buying and selling new and second-hand books.</w:t>
      </w:r>
    </w:p>
    <w:p>
      <w:pPr>
        <w:jc w:val="center"/>
      </w:pPr>
      <w:r>
        <w:rPr>
          <w:i/>
          <w:sz w:val="20"/>
        </w:rPr>
        <w:t>PES University, Bengaluru | UE24CS341A - Software Engineering | Semester V</w:t>
      </w:r>
    </w:p>
    <w:p>
      <w:r>
        <w:br w:type="page"/>
      </w:r>
    </w:p>
    <w:p>
      <w:pPr>
        <w:pStyle w:val="Heading1"/>
        <w:spacing w:before="160" w:after="80"/>
      </w:pPr>
      <w:r>
        <w:t>Revision History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12"/>
        <w:gridCol w:w="2412"/>
        <w:gridCol w:w="2412"/>
        <w:gridCol w:w="2412"/>
      </w:tblGrid>
      <w:tr>
        <w:tc>
          <w:tcPr>
            <w:tcW w:type="dxa" w:w="2412"/>
            <w:vAlign w:val="center"/>
            <w:shd w:fill="D9EAF7"/>
          </w:tcPr>
          <w:p>
            <w:pPr>
              <w:spacing w:after="0"/>
            </w:pPr>
            <w:r/>
            <w:r>
              <w:rPr>
                <w:rFonts w:ascii="Calibri" w:hAnsi="Calibri"/>
                <w:b/>
                <w:sz w:val="17"/>
              </w:rPr>
              <w:t>Version</w:t>
            </w:r>
          </w:p>
        </w:tc>
        <w:tc>
          <w:tcPr>
            <w:tcW w:type="dxa" w:w="2412"/>
            <w:vAlign w:val="center"/>
            <w:shd w:fill="D9EAF7"/>
          </w:tcPr>
          <w:p>
            <w:pPr>
              <w:spacing w:after="0"/>
            </w:pPr>
            <w:r/>
            <w:r>
              <w:rPr>
                <w:rFonts w:ascii="Calibri" w:hAnsi="Calibri"/>
                <w:b/>
                <w:sz w:val="17"/>
              </w:rPr>
              <w:t>Date</w:t>
            </w:r>
          </w:p>
        </w:tc>
        <w:tc>
          <w:tcPr>
            <w:tcW w:type="dxa" w:w="2412"/>
            <w:vAlign w:val="center"/>
            <w:shd w:fill="D9EAF7"/>
          </w:tcPr>
          <w:p>
            <w:pPr>
              <w:spacing w:after="0"/>
            </w:pPr>
            <w:r/>
            <w:r>
              <w:rPr>
                <w:rFonts w:ascii="Calibri" w:hAnsi="Calibri"/>
                <w:b/>
                <w:sz w:val="17"/>
              </w:rPr>
              <w:t>Author</w:t>
            </w:r>
          </w:p>
        </w:tc>
        <w:tc>
          <w:tcPr>
            <w:tcW w:type="dxa" w:w="2412"/>
            <w:vAlign w:val="center"/>
            <w:shd w:fill="D9EAF7"/>
          </w:tcPr>
          <w:p>
            <w:pPr>
              <w:spacing w:after="0"/>
            </w:pPr>
            <w:r/>
            <w:r>
              <w:rPr>
                <w:rFonts w:ascii="Calibri" w:hAnsi="Calibri"/>
                <w:b/>
                <w:sz w:val="17"/>
              </w:rPr>
              <w:t>Change Summary</w:t>
            </w:r>
          </w:p>
        </w:tc>
      </w:tr>
      <w:tr>
        <w:tc>
          <w:tcPr>
            <w:tcW w:type="dxa" w:w="2412"/>
            <w:vAlign w:val="center"/>
          </w:tcPr>
          <w:p>
            <w:pPr>
              <w:spacing w:after="0"/>
            </w:pPr>
            <w:r/>
            <w:r>
              <w:rPr>
                <w:rFonts w:ascii="Calibri" w:hAnsi="Calibri"/>
                <w:b w:val="0"/>
                <w:sz w:val="17"/>
              </w:rPr>
              <w:t>0.1</w:t>
            </w:r>
          </w:p>
        </w:tc>
        <w:tc>
          <w:tcPr>
            <w:tcW w:type="dxa" w:w="2412"/>
            <w:vAlign w:val="center"/>
          </w:tcPr>
          <w:p>
            <w:r>
              <w:t>03 Sep 2026</w:t>
            </w:r>
          </w:p>
        </w:tc>
        <w:tc>
          <w:tcPr>
            <w:tcW w:type="dxa" w:w="2412"/>
            <w:vAlign w:val="center"/>
          </w:tcPr>
          <w:p>
            <w:pPr>
              <w:spacing w:after="0"/>
            </w:pPr>
            <w:r/>
            <w:r>
              <w:rPr>
                <w:rFonts w:ascii="Calibri" w:hAnsi="Calibri"/>
                <w:b w:val="0"/>
                <w:sz w:val="17"/>
              </w:rPr>
              <w:t>Group 2</w:t>
            </w:r>
          </w:p>
        </w:tc>
        <w:tc>
          <w:tcPr>
            <w:tcW w:type="dxa" w:w="2412"/>
            <w:vAlign w:val="center"/>
          </w:tcPr>
          <w:p>
            <w:pPr>
              <w:spacing w:after="0"/>
            </w:pPr>
            <w:r/>
            <w:r>
              <w:rPr>
                <w:rFonts w:ascii="Calibri" w:hAnsi="Calibri"/>
                <w:b w:val="0"/>
                <w:sz w:val="17"/>
              </w:rPr>
              <w:t>Initial SAD draft aligned with the assigned Online Bookstore project.</w:t>
            </w:r>
          </w:p>
        </w:tc>
      </w:tr>
      <w:tr>
        <w:tc>
          <w:tcPr>
            <w:tcW w:type="dxa" w:w="2412"/>
            <w:vAlign w:val="center"/>
          </w:tcPr>
          <w:p>
            <w:pPr>
              <w:spacing w:after="0"/>
            </w:pPr>
            <w:r/>
            <w:r>
              <w:rPr>
                <w:rFonts w:ascii="Calibri" w:hAnsi="Calibri"/>
                <w:b w:val="0"/>
                <w:sz w:val="17"/>
              </w:rPr>
              <w:t>0.5</w:t>
            </w:r>
          </w:p>
        </w:tc>
        <w:tc>
          <w:tcPr>
            <w:tcW w:type="dxa" w:w="2412"/>
            <w:vAlign w:val="center"/>
          </w:tcPr>
          <w:p>
            <w:pPr>
              <w:spacing w:after="0"/>
            </w:pPr>
            <w:r/>
            <w:r>
              <w:rPr>
                <w:rFonts w:ascii="Calibri" w:hAnsi="Calibri"/>
                <w:b w:val="0"/>
                <w:sz w:val="17"/>
              </w:rPr>
              <w:t>05 Oct 2026</w:t>
            </w:r>
          </w:p>
        </w:tc>
        <w:tc>
          <w:tcPr>
            <w:tcW w:type="dxa" w:w="2412"/>
            <w:vAlign w:val="center"/>
          </w:tcPr>
          <w:p>
            <w:pPr>
              <w:spacing w:after="0"/>
            </w:pPr>
            <w:r/>
            <w:r>
              <w:rPr>
                <w:rFonts w:ascii="Calibri" w:hAnsi="Calibri"/>
                <w:b w:val="0"/>
                <w:sz w:val="17"/>
              </w:rPr>
              <w:t>Group 2</w:t>
            </w:r>
          </w:p>
        </w:tc>
        <w:tc>
          <w:tcPr>
            <w:tcW w:type="dxa" w:w="2412"/>
            <w:vAlign w:val="center"/>
          </w:tcPr>
          <w:p>
            <w:pPr>
              <w:spacing w:after="0"/>
            </w:pPr>
            <w:r/>
            <w:r>
              <w:rPr>
                <w:rFonts w:ascii="Calibri" w:hAnsi="Calibri"/>
                <w:b w:val="0"/>
                <w:sz w:val="17"/>
              </w:rPr>
              <w:t>Architecture, component design, security architecture, API design and sequence flows prepared from SRS v1.0.</w:t>
            </w:r>
          </w:p>
        </w:tc>
      </w:tr>
      <w:tr>
        <w:tc>
          <w:tcPr>
            <w:tcW w:type="dxa" w:w="2412"/>
            <w:vAlign w:val="center"/>
          </w:tcPr>
          <w:p>
            <w:pPr>
              <w:spacing w:after="0"/>
            </w:pPr>
            <w:r/>
            <w:r>
              <w:rPr>
                <w:rFonts w:ascii="Calibri" w:hAnsi="Calibri"/>
                <w:b w:val="0"/>
                <w:sz w:val="17"/>
              </w:rPr>
              <w:t>1.0</w:t>
            </w:r>
          </w:p>
        </w:tc>
        <w:tc>
          <w:tcPr>
            <w:tcW w:type="dxa" w:w="2412"/>
            <w:vAlign w:val="center"/>
          </w:tcPr>
          <w:p>
            <w:pPr>
              <w:spacing w:after="0"/>
            </w:pPr>
            <w:r/>
            <w:r>
              <w:rPr>
                <w:rFonts w:ascii="Calibri" w:hAnsi="Calibri"/>
                <w:b w:val="0"/>
                <w:sz w:val="17"/>
              </w:rPr>
              <w:t>05 Oct 2026</w:t>
            </w:r>
          </w:p>
        </w:tc>
        <w:tc>
          <w:tcPr>
            <w:tcW w:type="dxa" w:w="2412"/>
            <w:vAlign w:val="center"/>
          </w:tcPr>
          <w:p>
            <w:pPr>
              <w:spacing w:after="0"/>
            </w:pPr>
            <w:r/>
            <w:r>
              <w:rPr>
                <w:rFonts w:ascii="Calibri" w:hAnsi="Calibri"/>
                <w:b w:val="0"/>
                <w:sz w:val="17"/>
              </w:rPr>
              <w:t>Group 2</w:t>
            </w:r>
          </w:p>
        </w:tc>
        <w:tc>
          <w:tcPr>
            <w:tcW w:type="dxa" w:w="2412"/>
            <w:vAlign w:val="center"/>
          </w:tcPr>
          <w:p>
            <w:pPr>
              <w:spacing w:after="0"/>
            </w:pPr>
            <w:r/>
            <w:r>
              <w:rPr>
                <w:rFonts w:ascii="Calibri" w:hAnsi="Calibri"/>
                <w:b w:val="0"/>
                <w:sz w:val="17"/>
              </w:rPr>
              <w:t>SAD baseline prepared for Mini-Project Deliverables Part-1.</w:t>
            </w:r>
          </w:p>
        </w:tc>
      </w:tr>
    </w:tbl>
    <w:p>
      <w:pPr>
        <w:spacing w:after="0"/>
      </w:pPr>
    </w:p>
    <w:p>
      <w:pPr>
        <w:pStyle w:val="Heading1"/>
        <w:spacing w:before="160" w:after="80"/>
      </w:pPr>
      <w:r>
        <w:t>Approvals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7"/>
              </w:rPr>
              <w:t>Role</w:t>
            </w:r>
          </w:p>
        </w:tc>
        <w:tc>
          <w:tcPr>
            <w:tcW w:type="dxa" w:w="3216"/>
            <w:vAlign w:val="center"/>
            <w:shd w:fill="D9EAF7"/>
          </w:tcPr>
          <w:p>
            <w:pPr>
              <w:spacing w:after="0"/>
            </w:pPr>
            <w:r/>
            <w:r>
              <w:rPr>
                <w:rFonts w:ascii="Calibri" w:hAnsi="Calibri"/>
                <w:b/>
                <w:sz w:val="17"/>
              </w:rPr>
              <w:t>Name</w:t>
            </w:r>
          </w:p>
        </w:tc>
        <w:tc>
          <w:tcPr>
            <w:tcW w:type="dxa" w:w="3216"/>
            <w:vAlign w:val="center"/>
            <w:shd w:fill="D9EAF7"/>
          </w:tcPr>
          <w:p>
            <w:pPr>
              <w:spacing w:after="0"/>
            </w:pPr>
            <w:r/>
            <w:r>
              <w:rPr>
                <w:rFonts w:ascii="Calibri" w:hAnsi="Calibri"/>
                <w:b/>
                <w:sz w:val="17"/>
              </w:rPr>
              <w:t>Signature / Date</w:t>
            </w:r>
          </w:p>
        </w:tc>
      </w:tr>
      <w:tr>
        <w:tc>
          <w:tcPr>
            <w:tcW w:type="dxa" w:w="3216"/>
            <w:vAlign w:val="center"/>
          </w:tcPr>
          <w:p>
            <w:pPr>
              <w:spacing w:after="0"/>
            </w:pPr>
            <w:r/>
            <w:r>
              <w:rPr>
                <w:rFonts w:ascii="Calibri" w:hAnsi="Calibri"/>
                <w:b w:val="0"/>
                <w:sz w:val="17"/>
              </w:rPr>
              <w:t>Project Team</w:t>
            </w:r>
          </w:p>
        </w:tc>
        <w:tc>
          <w:tcPr>
            <w:tcW w:type="dxa" w:w="3216"/>
            <w:vAlign w:val="center"/>
          </w:tcPr>
          <w:p>
            <w:pPr>
              <w:spacing w:after="0"/>
            </w:pPr>
            <w:r/>
            <w:r>
              <w:rPr>
                <w:rFonts w:ascii="Calibri" w:hAnsi="Calibri"/>
                <w:b w:val="0"/>
                <w:sz w:val="17"/>
              </w:rPr>
              <w:t>Group 2</w:t>
            </w:r>
          </w:p>
        </w:tc>
        <w:tc>
          <w:tcPr>
            <w:tcW w:type="dxa" w:w="3216"/>
            <w:vAlign w:val="center"/>
          </w:tcPr>
          <w:p>
            <w:pPr>
              <w:spacing w:after="0"/>
            </w:pPr>
            <w:r/>
            <w:r>
              <w:rPr>
                <w:rFonts w:ascii="Calibri" w:hAnsi="Calibri"/>
                <w:b w:val="0"/>
                <w:sz w:val="17"/>
              </w:rPr>
              <w:t>________________ / 05-10-2026</w:t>
            </w:r>
          </w:p>
        </w:tc>
      </w:tr>
      <w:tr>
        <w:tc>
          <w:tcPr>
            <w:tcW w:type="dxa" w:w="3216"/>
            <w:vAlign w:val="center"/>
          </w:tcPr>
          <w:p>
            <w:pPr>
              <w:spacing w:after="0"/>
            </w:pPr>
            <w:r/>
            <w:r>
              <w:rPr>
                <w:rFonts w:ascii="Calibri" w:hAnsi="Calibri"/>
                <w:b w:val="0"/>
                <w:sz w:val="17"/>
              </w:rPr>
              <w:t>Faculty / Reviewer</w:t>
            </w:r>
          </w:p>
        </w:tc>
        <w:tc>
          <w:tcPr>
            <w:tcW w:type="dxa" w:w="3216"/>
            <w:vAlign w:val="center"/>
          </w:tcPr>
          <w:p>
            <w:pPr>
              <w:spacing w:after="0"/>
            </w:pPr>
            <w:r/>
            <w:r>
              <w:rPr>
                <w:rFonts w:ascii="Calibri" w:hAnsi="Calibri"/>
                <w:b w:val="0"/>
                <w:sz w:val="17"/>
              </w:rPr>
              <w:t>________________</w:t>
            </w:r>
          </w:p>
        </w:tc>
        <w:tc>
          <w:tcPr>
            <w:tcW w:type="dxa" w:w="3216"/>
            <w:vAlign w:val="center"/>
          </w:tcPr>
          <w:p>
            <w:pPr>
              <w:spacing w:after="0"/>
            </w:pPr>
            <w:r/>
            <w:r>
              <w:rPr>
                <w:rFonts w:ascii="Calibri" w:hAnsi="Calibri"/>
                <w:b w:val="0"/>
                <w:sz w:val="17"/>
              </w:rPr>
              <w:t>________________</w:t>
            </w:r>
          </w:p>
        </w:tc>
      </w:tr>
    </w:tbl>
    <w:p>
      <w:pPr>
        <w:spacing w:after="0"/>
      </w:pPr>
    </w:p>
    <w:p>
      <w:pPr>
        <w:pStyle w:val="Heading1"/>
        <w:spacing w:before="160" w:after="80"/>
      </w:pPr>
      <w:r>
        <w:t>Document Overview</w:t>
      </w:r>
    </w:p>
    <w:p>
      <w:pPr>
        <w:spacing w:after="100" w:line="259" w:lineRule="auto"/>
      </w:pPr>
      <w:r>
        <w:t>This document describes the software architecture and detailed design of the Online Bookstore. It translates the approved SRS into architectural components, interfaces, security controls, design flows and traceability. The architecture is based on a React client, Node.js/Express service layer and MongoDB data store, with Redis, a payment gateway, SMTP e-mail and cloud object storage as supporting interfaces.</w:t>
      </w:r>
    </w:p>
    <w:p>
      <w:pPr>
        <w:pStyle w:val="Heading2"/>
        <w:spacing w:before="100" w:after="80"/>
      </w:pPr>
      <w:r>
        <w:t>Contents</w:t>
      </w:r>
    </w:p>
    <w:p>
      <w:r>
        <w:t>1. Introduction</w:t>
      </w:r>
    </w:p>
    <w:p>
      <w:r>
        <w:t>2. Document Overview</w:t>
      </w:r>
    </w:p>
    <w:p>
      <w:r>
        <w:t>3. Architecture</w:t>
      </w:r>
    </w:p>
    <w:p>
      <w:r>
        <w:t>4. Design</w:t>
      </w:r>
    </w:p>
    <w:p>
      <w:r>
        <w:t>5. Appendices</w:t>
      </w:r>
    </w:p>
    <w:p>
      <w:pPr>
        <w:pStyle w:val="Heading1"/>
        <w:spacing w:before="160" w:after="80"/>
      </w:pPr>
      <w:r>
        <w:t>1. Introduction</w:t>
      </w:r>
    </w:p>
    <w:p>
      <w:pPr>
        <w:pStyle w:val="Heading2"/>
        <w:spacing w:before="100" w:after="80"/>
      </w:pPr>
      <w:r>
        <w:t>1.1 Purpose</w:t>
      </w:r>
    </w:p>
    <w:p>
      <w:pPr>
        <w:spacing w:after="100" w:line="259" w:lineRule="auto"/>
      </w:pPr>
      <w:r>
        <w:t>This Software Architecture and Design Specification (SAD) defines the architecture and design of the Online Bookstore described in the approved SRS. It identifies the major software components, their responsibilities, interactions, technology choices, security controls, design interfaces and representative execution flows.</w:t>
      </w:r>
    </w:p>
    <w:p>
      <w:pPr>
        <w:pStyle w:val="Heading2"/>
        <w:spacing w:before="100" w:after="80"/>
      </w:pPr>
      <w:r>
        <w:t>1.2 Scope</w:t>
      </w:r>
    </w:p>
    <w:p>
      <w:pPr>
        <w:spacing w:after="100" w:line="259" w:lineRule="auto"/>
      </w:pPr>
      <w:r>
        <w:t>The SAD covers version 1.0 of the Online Bookstore: account and access management; catalogue, search and reviews; cart, wishlist, checkout, payment and order tracking; seller listing and fulfilment operations; administrator moderation and reporting; and the supporting persistence, caching, notification and external-service interfaces.</w:t>
      </w:r>
    </w:p>
    <w:p>
      <w:pPr>
        <w:pStyle w:val="Heading2"/>
        <w:spacing w:before="100" w:after="80"/>
      </w:pPr>
      <w:r>
        <w:t>1.3 Audience</w:t>
      </w:r>
    </w:p>
    <w:p>
      <w:pPr>
        <w:spacing w:after="60"/>
      </w:pPr>
      <w:r>
        <w:t>Developers implementing the React, Node.js/Express and MongoDB solution.</w:t>
      </w:r>
    </w:p>
    <w:p>
      <w:pPr>
        <w:spacing w:after="60"/>
      </w:pPr>
      <w:r>
        <w:t>QA/test engineers deriving integration and system tests from the design.</w:t>
      </w:r>
    </w:p>
    <w:p>
      <w:pPr>
        <w:spacing w:after="60"/>
      </w:pPr>
      <w:r>
        <w:t>Project faculty and reviewers evaluating architecture and requirement coverage.</w:t>
      </w:r>
    </w:p>
    <w:p>
      <w:pPr>
        <w:spacing w:after="60"/>
      </w:pPr>
      <w:r>
        <w:t>Security reviewers checking authentication, authorization, payment and audit controls.</w:t>
      </w:r>
    </w:p>
    <w:p>
      <w:pPr>
        <w:spacing w:after="60"/>
      </w:pPr>
      <w:r>
        <w:t>Maintainers who need to understand component responsibilities and dependencies.</w:t>
      </w:r>
    </w:p>
    <w:p>
      <w:pPr>
        <w:pStyle w:val="Heading2"/>
        <w:spacing w:before="100" w:after="80"/>
      </w:pPr>
      <w:r>
        <w:t>1.4 Definitions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7"/>
              </w:rPr>
              <w:t>Term</w:t>
            </w:r>
          </w:p>
        </w:tc>
        <w:tc>
          <w:tcPr>
            <w:tcW w:type="dxa" w:w="4824"/>
            <w:vAlign w:val="center"/>
            <w:shd w:fill="D9EAF7"/>
          </w:tcPr>
          <w:p>
            <w:pPr>
              <w:spacing w:after="0"/>
            </w:pPr>
            <w:r/>
            <w:r>
              <w:rPr>
                <w:rFonts w:ascii="Calibri" w:hAnsi="Calibri"/>
                <w:b/>
                <w:sz w:val="17"/>
              </w:rPr>
              <w:t>Meaning</w:t>
            </w:r>
          </w:p>
        </w:tc>
      </w:tr>
      <w:tr>
        <w:tc>
          <w:tcPr>
            <w:tcW w:type="dxa" w:w="4824"/>
            <w:vAlign w:val="center"/>
          </w:tcPr>
          <w:p>
            <w:pPr>
              <w:spacing w:after="0"/>
            </w:pPr>
            <w:r/>
            <w:r>
              <w:rPr>
                <w:rFonts w:ascii="Calibri" w:hAnsi="Calibri"/>
                <w:b w:val="0"/>
                <w:sz w:val="17"/>
              </w:rPr>
              <w:t>MERN</w:t>
            </w:r>
          </w:p>
        </w:tc>
        <w:tc>
          <w:tcPr>
            <w:tcW w:type="dxa" w:w="4824"/>
            <w:vAlign w:val="center"/>
          </w:tcPr>
          <w:p>
            <w:pPr>
              <w:spacing w:after="0"/>
            </w:pPr>
            <w:r/>
            <w:r>
              <w:rPr>
                <w:rFonts w:ascii="Calibri" w:hAnsi="Calibri"/>
                <w:b w:val="0"/>
                <w:sz w:val="17"/>
              </w:rPr>
              <w:t>MongoDB, Express.js, React and Node.js technology stack.</w:t>
            </w:r>
          </w:p>
        </w:tc>
      </w:tr>
      <w:tr>
        <w:tc>
          <w:tcPr>
            <w:tcW w:type="dxa" w:w="4824"/>
            <w:vAlign w:val="center"/>
          </w:tcPr>
          <w:p>
            <w:pPr>
              <w:spacing w:after="0"/>
            </w:pPr>
            <w:r/>
            <w:r>
              <w:rPr>
                <w:rFonts w:ascii="Calibri" w:hAnsi="Calibri"/>
                <w:b w:val="0"/>
                <w:sz w:val="17"/>
              </w:rPr>
              <w:t>JWT</w:t>
            </w:r>
          </w:p>
        </w:tc>
        <w:tc>
          <w:tcPr>
            <w:tcW w:type="dxa" w:w="4824"/>
            <w:vAlign w:val="center"/>
          </w:tcPr>
          <w:p>
            <w:pPr>
              <w:spacing w:after="0"/>
            </w:pPr>
            <w:r/>
            <w:r>
              <w:rPr>
                <w:rFonts w:ascii="Calibri" w:hAnsi="Calibri"/>
                <w:b w:val="0"/>
                <w:sz w:val="17"/>
              </w:rPr>
              <w:t>JSON Web Token used for authenticated access.</w:t>
            </w:r>
          </w:p>
        </w:tc>
      </w:tr>
      <w:tr>
        <w:tc>
          <w:tcPr>
            <w:tcW w:type="dxa" w:w="4824"/>
            <w:vAlign w:val="center"/>
          </w:tcPr>
          <w:p>
            <w:pPr>
              <w:spacing w:after="0"/>
            </w:pPr>
            <w:r/>
            <w:r>
              <w:rPr>
                <w:rFonts w:ascii="Calibri" w:hAnsi="Calibri"/>
                <w:b w:val="0"/>
                <w:sz w:val="17"/>
              </w:rPr>
              <w:t>RBAC</w:t>
            </w:r>
          </w:p>
        </w:tc>
        <w:tc>
          <w:tcPr>
            <w:tcW w:type="dxa" w:w="4824"/>
            <w:vAlign w:val="center"/>
          </w:tcPr>
          <w:p>
            <w:pPr>
              <w:spacing w:after="0"/>
            </w:pPr>
            <w:r/>
            <w:r>
              <w:rPr>
                <w:rFonts w:ascii="Calibri" w:hAnsi="Calibri"/>
                <w:b w:val="0"/>
                <w:sz w:val="17"/>
              </w:rPr>
              <w:t>Role-Based Access Control.</w:t>
            </w:r>
          </w:p>
        </w:tc>
      </w:tr>
      <w:tr>
        <w:tc>
          <w:tcPr>
            <w:tcW w:type="dxa" w:w="4824"/>
            <w:vAlign w:val="center"/>
          </w:tcPr>
          <w:p>
            <w:pPr>
              <w:spacing w:after="0"/>
            </w:pPr>
            <w:r/>
            <w:r>
              <w:rPr>
                <w:rFonts w:ascii="Calibri" w:hAnsi="Calibri"/>
                <w:b w:val="0"/>
                <w:sz w:val="17"/>
              </w:rPr>
              <w:t>OTP</w:t>
            </w:r>
          </w:p>
        </w:tc>
        <w:tc>
          <w:tcPr>
            <w:tcW w:type="dxa" w:w="4824"/>
            <w:vAlign w:val="center"/>
          </w:tcPr>
          <w:p>
            <w:pPr>
              <w:spacing w:after="0"/>
            </w:pPr>
            <w:r/>
            <w:r>
              <w:rPr>
                <w:rFonts w:ascii="Calibri" w:hAnsi="Calibri"/>
                <w:b w:val="0"/>
                <w:sz w:val="17"/>
              </w:rPr>
              <w:t>Six-digit One-Time Password used for e-mail verification.</w:t>
            </w:r>
          </w:p>
        </w:tc>
      </w:tr>
      <w:tr>
        <w:tc>
          <w:tcPr>
            <w:tcW w:type="dxa" w:w="4824"/>
            <w:vAlign w:val="center"/>
          </w:tcPr>
          <w:p>
            <w:pPr>
              <w:spacing w:after="0"/>
            </w:pPr>
            <w:r/>
            <w:r>
              <w:rPr>
                <w:rFonts w:ascii="Calibri" w:hAnsi="Calibri"/>
                <w:b w:val="0"/>
                <w:sz w:val="17"/>
              </w:rPr>
              <w:t>Listing</w:t>
            </w:r>
          </w:p>
        </w:tc>
        <w:tc>
          <w:tcPr>
            <w:tcW w:type="dxa" w:w="4824"/>
            <w:vAlign w:val="center"/>
          </w:tcPr>
          <w:p>
            <w:pPr>
              <w:spacing w:after="0"/>
            </w:pPr>
            <w:r/>
            <w:r>
              <w:rPr>
                <w:rFonts w:ascii="Calibri" w:hAnsi="Calibri"/>
                <w:b w:val="0"/>
                <w:sz w:val="17"/>
              </w:rPr>
              <w:t>One seller's offer of one book title, with its own condition, price and stock.</w:t>
            </w:r>
          </w:p>
        </w:tc>
      </w:tr>
      <w:tr>
        <w:tc>
          <w:tcPr>
            <w:tcW w:type="dxa" w:w="4824"/>
            <w:vAlign w:val="center"/>
          </w:tcPr>
          <w:p>
            <w:pPr>
              <w:spacing w:after="0"/>
            </w:pPr>
            <w:r/>
            <w:r>
              <w:rPr>
                <w:rFonts w:ascii="Calibri" w:hAnsi="Calibri"/>
                <w:b w:val="0"/>
                <w:sz w:val="17"/>
              </w:rPr>
              <w:t>ISBN-13</w:t>
            </w:r>
          </w:p>
        </w:tc>
        <w:tc>
          <w:tcPr>
            <w:tcW w:type="dxa" w:w="4824"/>
            <w:vAlign w:val="center"/>
          </w:tcPr>
          <w:p>
            <w:pPr>
              <w:spacing w:after="0"/>
            </w:pPr>
            <w:r/>
            <w:r>
              <w:rPr>
                <w:rFonts w:ascii="Calibri" w:hAnsi="Calibri"/>
                <w:b w:val="0"/>
                <w:sz w:val="17"/>
              </w:rPr>
              <w:t>Thirteen-digit identifier used to identify a catalogue title.</w:t>
            </w:r>
          </w:p>
        </w:tc>
      </w:tr>
      <w:tr>
        <w:tc>
          <w:tcPr>
            <w:tcW w:type="dxa" w:w="4824"/>
            <w:vAlign w:val="center"/>
          </w:tcPr>
          <w:p>
            <w:pPr>
              <w:spacing w:after="0"/>
            </w:pPr>
            <w:r/>
            <w:r>
              <w:rPr>
                <w:rFonts w:ascii="Calibri" w:hAnsi="Calibri"/>
                <w:b w:val="0"/>
                <w:sz w:val="17"/>
              </w:rPr>
              <w:t>NFR</w:t>
            </w:r>
          </w:p>
        </w:tc>
        <w:tc>
          <w:tcPr>
            <w:tcW w:type="dxa" w:w="4824"/>
            <w:vAlign w:val="center"/>
          </w:tcPr>
          <w:p>
            <w:pPr>
              <w:spacing w:after="0"/>
            </w:pPr>
            <w:r/>
            <w:r>
              <w:rPr>
                <w:rFonts w:ascii="Calibri" w:hAnsi="Calibri"/>
                <w:b w:val="0"/>
                <w:sz w:val="17"/>
              </w:rPr>
              <w:t>Non-functional requirement.</w:t>
            </w:r>
          </w:p>
        </w:tc>
      </w:tr>
      <w:tr>
        <w:tc>
          <w:tcPr>
            <w:tcW w:type="dxa" w:w="4824"/>
            <w:vAlign w:val="center"/>
          </w:tcPr>
          <w:p>
            <w:pPr>
              <w:spacing w:after="0"/>
            </w:pPr>
            <w:r/>
            <w:r>
              <w:rPr>
                <w:rFonts w:ascii="Calibri" w:hAnsi="Calibri"/>
                <w:b w:val="0"/>
                <w:sz w:val="17"/>
              </w:rPr>
              <w:t>RTM</w:t>
            </w:r>
          </w:p>
        </w:tc>
        <w:tc>
          <w:tcPr>
            <w:tcW w:type="dxa" w:w="4824"/>
            <w:vAlign w:val="center"/>
          </w:tcPr>
          <w:p>
            <w:pPr>
              <w:spacing w:after="0"/>
            </w:pPr>
            <w:r/>
            <w:r>
              <w:rPr>
                <w:rFonts w:ascii="Calibri" w:hAnsi="Calibri"/>
                <w:b w:val="0"/>
                <w:sz w:val="17"/>
              </w:rPr>
              <w:t>Requirement Traceability Matrix.</w:t>
            </w:r>
          </w:p>
        </w:tc>
      </w:tr>
    </w:tbl>
    <w:p>
      <w:pPr>
        <w:spacing w:after="0"/>
      </w:pPr>
    </w:p>
    <w:p>
      <w:pPr>
        <w:pStyle w:val="Heading2"/>
        <w:spacing w:before="100" w:after="80"/>
      </w:pPr>
      <w:r>
        <w:t>1.5 References</w:t>
      </w:r>
    </w:p>
    <w:p>
      <w:pPr>
        <w:spacing w:after="60"/>
      </w:pPr>
      <w:r>
        <w:t>Software Requirements Specification - Online Bookstore, Group 2, Version 1.0 approved, 10 September 2026.</w:t>
      </w:r>
    </w:p>
    <w:p>
      <w:pPr>
        <w:spacing w:after="60"/>
      </w:pPr>
      <w:r>
        <w:t>IEEE Std 830-1998, Recommended Practice for Software Requirements Specifications.</w:t>
      </w:r>
    </w:p>
    <w:p>
      <w:pPr>
        <w:spacing w:after="60"/>
      </w:pPr>
      <w:r>
        <w:t>Project Guidelines for UE24CS341A, Semester V 2026.</w:t>
      </w:r>
    </w:p>
    <w:p>
      <w:pPr>
        <w:spacing w:after="60"/>
      </w:pPr>
      <w:r>
        <w:t>MongoDB documentation for text indexes and aggregation pipeline.</w:t>
      </w:r>
    </w:p>
    <w:p>
      <w:pPr>
        <w:spacing w:after="60"/>
      </w:pPr>
      <w:r>
        <w:t>OWASP Top 10 (2021).</w:t>
      </w:r>
    </w:p>
    <w:p>
      <w:pPr>
        <w:pStyle w:val="Heading1"/>
        <w:spacing w:before="160" w:after="80"/>
      </w:pPr>
      <w:r>
        <w:t>2. Document Overview</w:t>
      </w:r>
    </w:p>
    <w:p>
      <w:pPr>
        <w:pStyle w:val="Heading2"/>
        <w:spacing w:before="100" w:after="80"/>
      </w:pPr>
      <w:r>
        <w:t>2.1 How to Use This Document</w:t>
      </w:r>
    </w:p>
    <w:p>
      <w:pPr>
        <w:spacing w:after="100" w:line="259" w:lineRule="auto"/>
      </w:pPr>
      <w:r>
        <w:t>Section 3 should be used to understand the system architecture, component responsibilities, architecture pattern, technology stack, risks, requirement traceability and security architecture. Section 4 should be used for implementation-level design, representative API contracts, sequence flows, error handling and user-experience decisions. The appendices provide traceability, glossary material and design assumptions.</w:t>
      </w:r>
    </w:p>
    <w:p>
      <w:pPr>
        <w:pStyle w:val="Heading2"/>
        <w:spacing w:before="100" w:after="80"/>
      </w:pPr>
      <w:r>
        <w:t>2.2 Related Documents</w:t>
      </w:r>
    </w:p>
    <w:p>
      <w:pPr>
        <w:spacing w:after="60"/>
      </w:pPr>
      <w:r>
        <w:t>Online Bookstore SRS Version 1.0.</w:t>
      </w:r>
    </w:p>
    <w:p>
      <w:pPr>
        <w:spacing w:after="60"/>
      </w:pPr>
      <w:r>
        <w:t>Requirement Traceability Matrix in Appendix C of the SRS.</w:t>
      </w:r>
    </w:p>
    <w:p>
      <w:pPr>
        <w:spacing w:after="60"/>
      </w:pPr>
      <w:r>
        <w:t>Test Plan / Software Test Plan for the Online Bookstore.</w:t>
      </w:r>
    </w:p>
    <w:p>
      <w:pPr>
        <w:spacing w:after="60"/>
      </w:pPr>
      <w:r>
        <w:t>Appendix B field layouts and report requirements workbook referenced by the SRS.</w:t>
      </w:r>
    </w:p>
    <w:p>
      <w:r>
        <w:br w:type="page"/>
      </w:r>
    </w:p>
    <w:p>
      <w:pPr>
        <w:pStyle w:val="Heading1"/>
        <w:spacing w:before="160" w:after="80"/>
      </w:pPr>
      <w:r>
        <w:t>3. Architecture</w:t>
      </w:r>
    </w:p>
    <w:p>
      <w:pPr>
        <w:pStyle w:val="Heading2"/>
        <w:spacing w:before="100" w:after="80"/>
      </w:pPr>
      <w:r>
        <w:t>3.1 Goals &amp; Constraints</w:t>
      </w:r>
    </w:p>
    <w:p>
      <w:pPr>
        <w:spacing w:after="100" w:line="259" w:lineRule="auto"/>
      </w:pPr>
      <w:r>
        <w:t>The architecture is designed to satisfy the approved requirements without unnecessary complexity. Primary goals are secure authentication and authorization, reliable order and stock processing, responsive catalogue search, maintainable modular services, testability through injectable interfaces, and reuse through a shared React component library.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6"/>
              </w:rPr>
              <w:t>Category</w:t>
            </w:r>
          </w:p>
        </w:tc>
        <w:tc>
          <w:tcPr>
            <w:tcW w:type="dxa" w:w="4824"/>
            <w:vAlign w:val="center"/>
            <w:shd w:fill="D9EAF7"/>
          </w:tcPr>
          <w:p>
            <w:pPr>
              <w:spacing w:after="0"/>
            </w:pPr>
            <w:r/>
            <w:r>
              <w:rPr>
                <w:rFonts w:ascii="Calibri" w:hAnsi="Calibri"/>
                <w:b/>
                <w:sz w:val="16"/>
              </w:rPr>
              <w:t>Architecture goal / constraint</w:t>
            </w:r>
          </w:p>
        </w:tc>
      </w:tr>
      <w:tr>
        <w:tc>
          <w:tcPr>
            <w:tcW w:type="dxa" w:w="4824"/>
            <w:vAlign w:val="center"/>
          </w:tcPr>
          <w:p>
            <w:pPr>
              <w:spacing w:after="0"/>
            </w:pPr>
            <w:r/>
            <w:r>
              <w:rPr>
                <w:rFonts w:ascii="Calibri" w:hAnsi="Calibri"/>
                <w:b w:val="0"/>
                <w:sz w:val="16"/>
              </w:rPr>
              <w:t>Performance</w:t>
            </w:r>
          </w:p>
        </w:tc>
        <w:tc>
          <w:tcPr>
            <w:tcW w:type="dxa" w:w="4824"/>
            <w:vAlign w:val="center"/>
          </w:tcPr>
          <w:p>
            <w:pPr>
              <w:spacing w:after="0"/>
            </w:pPr>
            <w:r/>
            <w:r>
              <w:rPr>
                <w:rFonts w:ascii="Calibri" w:hAnsi="Calibri"/>
                <w:b w:val="0"/>
                <w:sz w:val="16"/>
              </w:rPr>
              <w:t>Catalogue search within 2 seconds at the 95th percentile under 10,000 listings and 200 concurrent users; catalogue/detail pages within 3 seconds.</w:t>
            </w:r>
          </w:p>
        </w:tc>
      </w:tr>
      <w:tr>
        <w:tc>
          <w:tcPr>
            <w:tcW w:type="dxa" w:w="4824"/>
            <w:vAlign w:val="center"/>
          </w:tcPr>
          <w:p>
            <w:pPr>
              <w:spacing w:after="0"/>
            </w:pPr>
            <w:r/>
            <w:r>
              <w:rPr>
                <w:rFonts w:ascii="Calibri" w:hAnsi="Calibri"/>
                <w:b w:val="0"/>
                <w:sz w:val="16"/>
              </w:rPr>
              <w:t>Availability</w:t>
            </w:r>
          </w:p>
        </w:tc>
        <w:tc>
          <w:tcPr>
            <w:tcW w:type="dxa" w:w="4824"/>
            <w:vAlign w:val="center"/>
          </w:tcPr>
          <w:p>
            <w:pPr>
              <w:spacing w:after="0"/>
            </w:pPr>
            <w:r/>
            <w:r>
              <w:rPr>
                <w:rFonts w:ascii="Calibri" w:hAnsi="Calibri"/>
                <w:b w:val="0"/>
                <w:sz w:val="16"/>
              </w:rPr>
              <w:t>At least 99% availability during the evaluation window, measured through a health-check monitor.</w:t>
            </w:r>
          </w:p>
        </w:tc>
      </w:tr>
      <w:tr>
        <w:tc>
          <w:tcPr>
            <w:tcW w:type="dxa" w:w="4824"/>
            <w:vAlign w:val="center"/>
          </w:tcPr>
          <w:p>
            <w:pPr>
              <w:spacing w:after="0"/>
            </w:pPr>
            <w:r/>
            <w:r>
              <w:rPr>
                <w:rFonts w:ascii="Calibri" w:hAnsi="Calibri"/>
                <w:b w:val="0"/>
                <w:sz w:val="16"/>
              </w:rPr>
              <w:t>Security</w:t>
            </w:r>
          </w:p>
        </w:tc>
        <w:tc>
          <w:tcPr>
            <w:tcW w:type="dxa" w:w="4824"/>
            <w:vAlign w:val="center"/>
          </w:tcPr>
          <w:p>
            <w:pPr>
              <w:spacing w:after="0"/>
            </w:pPr>
            <w:r/>
            <w:r>
              <w:rPr>
                <w:rFonts w:ascii="Calibri" w:hAnsi="Calibri"/>
                <w:b w:val="0"/>
                <w:sz w:val="16"/>
              </w:rPr>
              <w:t>TLS 1.2+, bcrypt password hashes, short-lived access tokens, RBAC, server-side validation, no card-data storage and append-only audit logging.</w:t>
            </w:r>
          </w:p>
        </w:tc>
      </w:tr>
      <w:tr>
        <w:tc>
          <w:tcPr>
            <w:tcW w:type="dxa" w:w="4824"/>
            <w:vAlign w:val="center"/>
          </w:tcPr>
          <w:p>
            <w:pPr>
              <w:spacing w:after="0"/>
            </w:pPr>
            <w:r/>
            <w:r>
              <w:rPr>
                <w:rFonts w:ascii="Calibri" w:hAnsi="Calibri"/>
                <w:b w:val="0"/>
                <w:sz w:val="16"/>
              </w:rPr>
              <w:t>Data integrity</w:t>
            </w:r>
          </w:p>
        </w:tc>
        <w:tc>
          <w:tcPr>
            <w:tcW w:type="dxa" w:w="4824"/>
            <w:vAlign w:val="center"/>
          </w:tcPr>
          <w:p>
            <w:pPr>
              <w:spacing w:after="0"/>
            </w:pPr>
            <w:r/>
            <w:r>
              <w:rPr>
                <w:rFonts w:ascii="Calibri" w:hAnsi="Calibri"/>
                <w:b w:val="0"/>
                <w:sz w:val="16"/>
              </w:rPr>
              <w:t>Atomic stock decrement at payment confirmation; no hard deletion of order/payment/shipment history.</w:t>
            </w:r>
          </w:p>
        </w:tc>
      </w:tr>
      <w:tr>
        <w:tc>
          <w:tcPr>
            <w:tcW w:type="dxa" w:w="4824"/>
            <w:vAlign w:val="center"/>
          </w:tcPr>
          <w:p>
            <w:pPr>
              <w:spacing w:after="0"/>
            </w:pPr>
            <w:r/>
            <w:r>
              <w:rPr>
                <w:rFonts w:ascii="Calibri" w:hAnsi="Calibri"/>
                <w:b w:val="0"/>
                <w:sz w:val="16"/>
              </w:rPr>
              <w:t>Technology</w:t>
            </w:r>
          </w:p>
        </w:tc>
        <w:tc>
          <w:tcPr>
            <w:tcW w:type="dxa" w:w="4824"/>
            <w:vAlign w:val="center"/>
          </w:tcPr>
          <w:p>
            <w:pPr>
              <w:spacing w:after="0"/>
            </w:pPr>
            <w:r/>
            <w:r>
              <w:rPr>
                <w:rFonts w:ascii="Calibri" w:hAnsi="Calibri"/>
                <w:b w:val="0"/>
                <w:sz w:val="16"/>
              </w:rPr>
              <w:t>MERN stack is fixed by the project brief; MongoDB Atlas and Redis are used as specified by the SRS.</w:t>
            </w:r>
          </w:p>
        </w:tc>
      </w:tr>
      <w:tr>
        <w:tc>
          <w:tcPr>
            <w:tcW w:type="dxa" w:w="4824"/>
            <w:vAlign w:val="center"/>
          </w:tcPr>
          <w:p>
            <w:pPr>
              <w:spacing w:after="0"/>
            </w:pPr>
            <w:r/>
            <w:r>
              <w:rPr>
                <w:rFonts w:ascii="Calibri" w:hAnsi="Calibri"/>
                <w:b w:val="0"/>
                <w:sz w:val="16"/>
              </w:rPr>
              <w:t>Delivery</w:t>
            </w:r>
          </w:p>
        </w:tc>
        <w:tc>
          <w:tcPr>
            <w:tcW w:type="dxa" w:w="4824"/>
            <w:vAlign w:val="center"/>
          </w:tcPr>
          <w:p>
            <w:pPr>
              <w:spacing w:after="0"/>
            </w:pPr>
            <w:r/>
            <w:r>
              <w:rPr>
                <w:rFonts w:ascii="Calibri" w:hAnsi="Calibri"/>
                <w:b w:val="0"/>
                <w:sz w:val="16"/>
              </w:rPr>
              <w:t>Four part-time developers must implement, test and demonstrate the product within one semester.</w:t>
            </w:r>
          </w:p>
        </w:tc>
      </w:tr>
      <w:tr>
        <w:tc>
          <w:tcPr>
            <w:tcW w:type="dxa" w:w="4824"/>
            <w:vAlign w:val="center"/>
          </w:tcPr>
          <w:p>
            <w:pPr>
              <w:spacing w:after="0"/>
            </w:pPr>
            <w:r/>
            <w:r>
              <w:rPr>
                <w:rFonts w:ascii="Calibri" w:hAnsi="Calibri"/>
                <w:b w:val="0"/>
                <w:sz w:val="16"/>
              </w:rPr>
              <w:t>Operations</w:t>
            </w:r>
          </w:p>
        </w:tc>
        <w:tc>
          <w:tcPr>
            <w:tcW w:type="dxa" w:w="4824"/>
            <w:vAlign w:val="center"/>
          </w:tcPr>
          <w:p>
            <w:pPr>
              <w:spacing w:after="0"/>
            </w:pPr>
            <w:r/>
            <w:r>
              <w:rPr>
                <w:rFonts w:ascii="Calibri" w:hAnsi="Calibri"/>
                <w:b w:val="0"/>
                <w:sz w:val="16"/>
              </w:rPr>
              <w:t>Third-party services remain within free tiers; source is managed in one protected GitHub repository with CI gates.</w:t>
            </w:r>
          </w:p>
        </w:tc>
      </w:tr>
    </w:tbl>
    <w:p>
      <w:pPr>
        <w:spacing w:after="0"/>
      </w:pPr>
    </w:p>
    <w:p>
      <w:pPr>
        <w:pStyle w:val="Heading2"/>
        <w:spacing w:before="100" w:after="80"/>
      </w:pPr>
      <w:r>
        <w:t>3.2 Stakeholders &amp; Concerns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7"/>
              </w:rPr>
              <w:t>Stakeholder</w:t>
            </w:r>
          </w:p>
        </w:tc>
        <w:tc>
          <w:tcPr>
            <w:tcW w:type="dxa" w:w="4824"/>
            <w:vAlign w:val="center"/>
            <w:shd w:fill="D9EAF7"/>
          </w:tcPr>
          <w:p>
            <w:pPr>
              <w:spacing w:after="0"/>
            </w:pPr>
            <w:r/>
            <w:r>
              <w:rPr>
                <w:rFonts w:ascii="Calibri" w:hAnsi="Calibri"/>
                <w:b/>
                <w:sz w:val="17"/>
              </w:rPr>
              <w:t>Primary concerns</w:t>
            </w:r>
          </w:p>
        </w:tc>
      </w:tr>
      <w:tr>
        <w:tc>
          <w:tcPr>
            <w:tcW w:type="dxa" w:w="4824"/>
            <w:vAlign w:val="center"/>
          </w:tcPr>
          <w:p>
            <w:pPr>
              <w:spacing w:after="0"/>
            </w:pPr>
            <w:r/>
            <w:r>
              <w:rPr>
                <w:rFonts w:ascii="Calibri" w:hAnsi="Calibri"/>
                <w:b w:val="0"/>
                <w:sz w:val="17"/>
              </w:rPr>
              <w:t>Buyer</w:t>
            </w:r>
          </w:p>
        </w:tc>
        <w:tc>
          <w:tcPr>
            <w:tcW w:type="dxa" w:w="4824"/>
            <w:vAlign w:val="center"/>
          </w:tcPr>
          <w:p>
            <w:pPr>
              <w:spacing w:after="0"/>
            </w:pPr>
            <w:r/>
            <w:r>
              <w:rPr>
                <w:rFonts w:ascii="Calibri" w:hAnsi="Calibri"/>
                <w:b w:val="0"/>
                <w:sz w:val="17"/>
              </w:rPr>
              <w:t>Fast discovery, correct pricing/stock, secure checkout, order visibility and usable responsive UI.</w:t>
            </w:r>
          </w:p>
        </w:tc>
      </w:tr>
      <w:tr>
        <w:tc>
          <w:tcPr>
            <w:tcW w:type="dxa" w:w="4824"/>
            <w:vAlign w:val="center"/>
          </w:tcPr>
          <w:p>
            <w:pPr>
              <w:spacing w:after="0"/>
            </w:pPr>
            <w:r/>
            <w:r>
              <w:rPr>
                <w:rFonts w:ascii="Calibri" w:hAnsi="Calibri"/>
                <w:b w:val="0"/>
                <w:sz w:val="17"/>
              </w:rPr>
              <w:t>Seller</w:t>
            </w:r>
          </w:p>
        </w:tc>
        <w:tc>
          <w:tcPr>
            <w:tcW w:type="dxa" w:w="4824"/>
            <w:vAlign w:val="center"/>
          </w:tcPr>
          <w:p>
            <w:pPr>
              <w:spacing w:after="0"/>
            </w:pPr>
            <w:r/>
            <w:r>
              <w:rPr>
                <w:rFonts w:ascii="Calibri" w:hAnsi="Calibri"/>
                <w:b w:val="0"/>
                <w:sz w:val="17"/>
              </w:rPr>
              <w:t>Simple listing/inventory management, fulfilment workflow, low-stock alerts and accurate settlement reports.</w:t>
            </w:r>
          </w:p>
        </w:tc>
      </w:tr>
      <w:tr>
        <w:tc>
          <w:tcPr>
            <w:tcW w:type="dxa" w:w="4824"/>
            <w:vAlign w:val="center"/>
          </w:tcPr>
          <w:p>
            <w:pPr>
              <w:spacing w:after="0"/>
            </w:pPr>
            <w:r/>
            <w:r>
              <w:rPr>
                <w:rFonts w:ascii="Calibri" w:hAnsi="Calibri"/>
                <w:b w:val="0"/>
                <w:sz w:val="17"/>
              </w:rPr>
              <w:t>Administrator</w:t>
            </w:r>
          </w:p>
        </w:tc>
        <w:tc>
          <w:tcPr>
            <w:tcW w:type="dxa" w:w="4824"/>
            <w:vAlign w:val="center"/>
          </w:tcPr>
          <w:p>
            <w:pPr>
              <w:spacing w:after="0"/>
            </w:pPr>
            <w:r/>
            <w:r>
              <w:rPr>
                <w:rFonts w:ascii="Calibri" w:hAnsi="Calibri"/>
                <w:b w:val="0"/>
                <w:sz w:val="17"/>
              </w:rPr>
              <w:t>Moderation, auditability, user management, platform analytics and exports.</w:t>
            </w:r>
          </w:p>
        </w:tc>
      </w:tr>
      <w:tr>
        <w:tc>
          <w:tcPr>
            <w:tcW w:type="dxa" w:w="4824"/>
            <w:vAlign w:val="center"/>
          </w:tcPr>
          <w:p>
            <w:pPr>
              <w:spacing w:after="0"/>
            </w:pPr>
            <w:r/>
            <w:r>
              <w:rPr>
                <w:rFonts w:ascii="Calibri" w:hAnsi="Calibri"/>
                <w:b w:val="0"/>
                <w:sz w:val="17"/>
              </w:rPr>
              <w:t>Developers</w:t>
            </w:r>
          </w:p>
        </w:tc>
        <w:tc>
          <w:tcPr>
            <w:tcW w:type="dxa" w:w="4824"/>
            <w:vAlign w:val="center"/>
          </w:tcPr>
          <w:p>
            <w:pPr>
              <w:spacing w:after="0"/>
            </w:pPr>
            <w:r/>
            <w:r>
              <w:rPr>
                <w:rFonts w:ascii="Calibri" w:hAnsi="Calibri"/>
                <w:b w:val="0"/>
                <w:sz w:val="17"/>
              </w:rPr>
              <w:t>Clear module boundaries, testability, maintainability and CI quality gates.</w:t>
            </w:r>
          </w:p>
        </w:tc>
      </w:tr>
      <w:tr>
        <w:tc>
          <w:tcPr>
            <w:tcW w:type="dxa" w:w="4824"/>
            <w:vAlign w:val="center"/>
          </w:tcPr>
          <w:p>
            <w:pPr>
              <w:spacing w:after="0"/>
            </w:pPr>
            <w:r/>
            <w:r>
              <w:rPr>
                <w:rFonts w:ascii="Calibri" w:hAnsi="Calibri"/>
                <w:b w:val="0"/>
                <w:sz w:val="17"/>
              </w:rPr>
              <w:t>Faculty / Evaluators</w:t>
            </w:r>
          </w:p>
        </w:tc>
        <w:tc>
          <w:tcPr>
            <w:tcW w:type="dxa" w:w="4824"/>
            <w:vAlign w:val="center"/>
          </w:tcPr>
          <w:p>
            <w:pPr>
              <w:spacing w:after="0"/>
            </w:pPr>
            <w:r/>
            <w:r>
              <w:rPr>
                <w:rFonts w:ascii="Calibri" w:hAnsi="Calibri"/>
                <w:b w:val="0"/>
                <w:sz w:val="17"/>
              </w:rPr>
              <w:t>Traceability to SRS requirements, demonstrable functionality and measurable quality attributes.</w:t>
            </w:r>
          </w:p>
        </w:tc>
      </w:tr>
      <w:tr>
        <w:tc>
          <w:tcPr>
            <w:tcW w:type="dxa" w:w="4824"/>
            <w:vAlign w:val="center"/>
          </w:tcPr>
          <w:p>
            <w:pPr>
              <w:spacing w:after="0"/>
            </w:pPr>
            <w:r/>
            <w:r>
              <w:rPr>
                <w:rFonts w:ascii="Calibri" w:hAnsi="Calibri"/>
                <w:b w:val="0"/>
                <w:sz w:val="17"/>
              </w:rPr>
              <w:t>Security / Compliance reviewers</w:t>
            </w:r>
          </w:p>
        </w:tc>
        <w:tc>
          <w:tcPr>
            <w:tcW w:type="dxa" w:w="4824"/>
            <w:vAlign w:val="center"/>
          </w:tcPr>
          <w:p>
            <w:pPr>
              <w:spacing w:after="0"/>
            </w:pPr>
            <w:r/>
            <w:r>
              <w:rPr>
                <w:rFonts w:ascii="Calibri" w:hAnsi="Calibri"/>
                <w:b w:val="0"/>
                <w:sz w:val="17"/>
              </w:rPr>
              <w:t>TLS, password protection, RBAC, payment isolation, audit logs and OWASP-aligned validation.</w:t>
            </w:r>
          </w:p>
        </w:tc>
      </w:tr>
    </w:tbl>
    <w:p>
      <w:pPr>
        <w:spacing w:after="0"/>
      </w:pPr>
    </w:p>
    <w:p>
      <w:pPr>
        <w:pStyle w:val="Heading2"/>
        <w:spacing w:before="100" w:after="80"/>
      </w:pPr>
      <w:r>
        <w:t>3.3 Component (UML) Diagram</w:t>
      </w:r>
    </w:p>
    <w:p>
      <w:r>
        <w:drawing>
          <wp:inline>
            <wp:extent cx="6126480" cy="1838671"/>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10"/>
                    <a:stretch>
                      <a:fillRect/>
                    </a:stretch>
                  </pic:blipFill>
                  <pic:spPr>
                    <a:xfrm>
                      <a:off x="0" y="0"/>
                      <a:ext cx="6126480" cy="1838671"/>
                    </a:xfrm>
                    <a:prstGeom prst="rect"/>
                  </pic:spPr>
                </pic:pic>
              </a:graphicData>
            </a:graphic>
          </wp:inline>
        </w:drawing>
      </w:r>
    </w:p>
    <w:p>
      <w:pPr>
        <w:jc w:val="center"/>
      </w:pPr>
      <w:r>
        <w:rPr>
          <w:i/>
          <w:sz w:val="18"/>
        </w:rPr>
        <w:t>Figure 1. Component architecture - Online Bookstore</w:t>
      </w:r>
    </w:p>
    <w:p>
      <w:pPr>
        <w:spacing w:after="100" w:line="259" w:lineRule="auto"/>
      </w:pPr>
      <w:r>
        <w:t>The component view implements the three-tier perspective stated in the SRS. The React presentation tier communicates with the Node.js/Express REST service tier over HTTPS/JSON. The service tier is split by responsibility into authentication/user, catalogue/search/review, cart/order/payment, seller/administrator and notification services. MongoDB is the primary persistent store; Redis provides session storage and query caching; payment and SMTP remain outside the application trust boundary.</w:t>
      </w:r>
    </w:p>
    <w:p>
      <w:pPr>
        <w:pStyle w:val="Heading2"/>
        <w:spacing w:before="100" w:after="80"/>
      </w:pPr>
      <w:r>
        <w:t>3.4 Component Descriptions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5"/>
              </w:rPr>
              <w:t>Component</w:t>
            </w:r>
          </w:p>
        </w:tc>
        <w:tc>
          <w:tcPr>
            <w:tcW w:type="dxa" w:w="3216"/>
            <w:vAlign w:val="center"/>
            <w:shd w:fill="D9EAF7"/>
          </w:tcPr>
          <w:p>
            <w:pPr>
              <w:spacing w:after="0"/>
            </w:pPr>
            <w:r/>
            <w:r>
              <w:rPr>
                <w:rFonts w:ascii="Calibri" w:hAnsi="Calibri"/>
                <w:b/>
                <w:sz w:val="15"/>
              </w:rPr>
              <w:t>Responsibilities</w:t>
            </w:r>
          </w:p>
        </w:tc>
        <w:tc>
          <w:tcPr>
            <w:tcW w:type="dxa" w:w="3216"/>
            <w:vAlign w:val="center"/>
            <w:shd w:fill="D9EAF7"/>
          </w:tcPr>
          <w:p>
            <w:pPr>
              <w:spacing w:after="0"/>
            </w:pPr>
            <w:r/>
            <w:r>
              <w:rPr>
                <w:rFonts w:ascii="Calibri" w:hAnsi="Calibri"/>
                <w:b/>
                <w:sz w:val="15"/>
              </w:rPr>
              <w:t>Main requirements supported</w:t>
            </w:r>
          </w:p>
        </w:tc>
      </w:tr>
      <w:tr>
        <w:tc>
          <w:tcPr>
            <w:tcW w:type="dxa" w:w="3216"/>
            <w:vAlign w:val="center"/>
          </w:tcPr>
          <w:p>
            <w:pPr>
              <w:spacing w:after="0"/>
            </w:pPr>
            <w:r/>
            <w:r>
              <w:rPr>
                <w:rFonts w:ascii="Calibri" w:hAnsi="Calibri"/>
                <w:b w:val="0"/>
                <w:sz w:val="15"/>
              </w:rPr>
              <w:t>React Presentation Tier</w:t>
            </w:r>
          </w:p>
        </w:tc>
        <w:tc>
          <w:tcPr>
            <w:tcW w:type="dxa" w:w="3216"/>
            <w:vAlign w:val="center"/>
          </w:tcPr>
          <w:p>
            <w:pPr>
              <w:spacing w:after="0"/>
            </w:pPr>
            <w:r/>
            <w:r>
              <w:rPr>
                <w:rFonts w:ascii="Calibri" w:hAnsi="Calibri"/>
                <w:b w:val="0"/>
                <w:sz w:val="15"/>
              </w:rPr>
              <w:t>Buyer, seller and administrator screens; shared components; responsive layout; form validation feedback; authenticated navigation.</w:t>
            </w:r>
          </w:p>
        </w:tc>
        <w:tc>
          <w:tcPr>
            <w:tcW w:type="dxa" w:w="3216"/>
            <w:vAlign w:val="center"/>
          </w:tcPr>
          <w:p>
            <w:pPr>
              <w:spacing w:after="0"/>
            </w:pPr>
            <w:r/>
            <w:r>
              <w:rPr>
                <w:rFonts w:ascii="Calibri" w:hAnsi="Calibri"/>
                <w:b w:val="0"/>
                <w:sz w:val="15"/>
              </w:rPr>
              <w:t>FR-01 to FR-24; NFR-04, NFR-07</w:t>
            </w:r>
          </w:p>
        </w:tc>
      </w:tr>
      <w:tr>
        <w:tc>
          <w:tcPr>
            <w:tcW w:type="dxa" w:w="3216"/>
            <w:vAlign w:val="center"/>
          </w:tcPr>
          <w:p>
            <w:pPr>
              <w:spacing w:after="0"/>
            </w:pPr>
            <w:r/>
            <w:r>
              <w:rPr>
                <w:rFonts w:ascii="Calibri" w:hAnsi="Calibri"/>
                <w:b w:val="0"/>
                <w:sz w:val="15"/>
              </w:rPr>
              <w:t>Auth &amp; User Service</w:t>
            </w:r>
          </w:p>
        </w:tc>
        <w:tc>
          <w:tcPr>
            <w:tcW w:type="dxa" w:w="3216"/>
            <w:vAlign w:val="center"/>
          </w:tcPr>
          <w:p>
            <w:pPr>
              <w:spacing w:after="0"/>
            </w:pPr>
            <w:r/>
            <w:r>
              <w:rPr>
                <w:rFonts w:ascii="Calibri" w:hAnsi="Calibri"/>
                <w:b w:val="0"/>
                <w:sz w:val="15"/>
              </w:rPr>
              <w:t>Registration, OTP verification, login/logout, JWT/refresh tokens, password reset, profile/address management and RBAC.</w:t>
            </w:r>
          </w:p>
        </w:tc>
        <w:tc>
          <w:tcPr>
            <w:tcW w:type="dxa" w:w="3216"/>
            <w:vAlign w:val="center"/>
          </w:tcPr>
          <w:p>
            <w:pPr>
              <w:spacing w:after="0"/>
            </w:pPr>
            <w:r/>
            <w:r>
              <w:rPr>
                <w:rFonts w:ascii="Calibri" w:hAnsi="Calibri"/>
                <w:b w:val="0"/>
                <w:sz w:val="15"/>
              </w:rPr>
              <w:t>FR-01 to FR-06; NFR-03, NFR-08</w:t>
            </w:r>
          </w:p>
        </w:tc>
      </w:tr>
      <w:tr>
        <w:tc>
          <w:tcPr>
            <w:tcW w:type="dxa" w:w="3216"/>
            <w:vAlign w:val="center"/>
          </w:tcPr>
          <w:p>
            <w:pPr>
              <w:spacing w:after="0"/>
            </w:pPr>
            <w:r/>
            <w:r>
              <w:rPr>
                <w:rFonts w:ascii="Calibri" w:hAnsi="Calibri"/>
                <w:b w:val="0"/>
                <w:sz w:val="15"/>
              </w:rPr>
              <w:t>Catalogue Service</w:t>
            </w:r>
          </w:p>
        </w:tc>
        <w:tc>
          <w:tcPr>
            <w:tcW w:type="dxa" w:w="3216"/>
            <w:vAlign w:val="center"/>
          </w:tcPr>
          <w:p>
            <w:pPr>
              <w:spacing w:after="0"/>
            </w:pPr>
            <w:r/>
            <w:r>
              <w:rPr>
                <w:rFonts w:ascii="Calibri" w:hAnsi="Calibri"/>
                <w:b w:val="0"/>
                <w:sz w:val="15"/>
              </w:rPr>
              <w:t>Catalogue paging, text search, filtering/sorting, book detail, reviews and related-title selection.</w:t>
            </w:r>
          </w:p>
        </w:tc>
        <w:tc>
          <w:tcPr>
            <w:tcW w:type="dxa" w:w="3216"/>
            <w:vAlign w:val="center"/>
          </w:tcPr>
          <w:p>
            <w:pPr>
              <w:spacing w:after="0"/>
            </w:pPr>
            <w:r/>
            <w:r>
              <w:rPr>
                <w:rFonts w:ascii="Calibri" w:hAnsi="Calibri"/>
                <w:b w:val="0"/>
                <w:sz w:val="15"/>
              </w:rPr>
              <w:t>FR-07 to FR-12; NFR-01</w:t>
            </w:r>
          </w:p>
        </w:tc>
      </w:tr>
      <w:tr>
        <w:tc>
          <w:tcPr>
            <w:tcW w:type="dxa" w:w="3216"/>
            <w:vAlign w:val="center"/>
          </w:tcPr>
          <w:p>
            <w:pPr>
              <w:spacing w:after="0"/>
            </w:pPr>
            <w:r/>
            <w:r>
              <w:rPr>
                <w:rFonts w:ascii="Calibri" w:hAnsi="Calibri"/>
                <w:b w:val="0"/>
                <w:sz w:val="15"/>
              </w:rPr>
              <w:t>Cart &amp; Order Service</w:t>
            </w:r>
          </w:p>
        </w:tc>
        <w:tc>
          <w:tcPr>
            <w:tcW w:type="dxa" w:w="3216"/>
            <w:vAlign w:val="center"/>
          </w:tcPr>
          <w:p>
            <w:pPr>
              <w:spacing w:after="0"/>
            </w:pPr>
            <w:r/>
            <w:r>
              <w:rPr>
                <w:rFonts w:ascii="Calibri" w:hAnsi="Calibri"/>
                <w:b w:val="0"/>
                <w:sz w:val="15"/>
              </w:rPr>
              <w:t>Cart/wishlist, checkout validation, order lifecycle, payment coordination, invoice triggering and cancellation/return.</w:t>
            </w:r>
          </w:p>
        </w:tc>
        <w:tc>
          <w:tcPr>
            <w:tcW w:type="dxa" w:w="3216"/>
            <w:vAlign w:val="center"/>
          </w:tcPr>
          <w:p>
            <w:pPr>
              <w:spacing w:after="0"/>
            </w:pPr>
            <w:r/>
            <w:r>
              <w:rPr>
                <w:rFonts w:ascii="Calibri" w:hAnsi="Calibri"/>
                <w:b w:val="0"/>
                <w:sz w:val="15"/>
              </w:rPr>
              <w:t>FR-13 to FR-18; NFR-05</w:t>
            </w:r>
          </w:p>
        </w:tc>
      </w:tr>
      <w:tr>
        <w:tc>
          <w:tcPr>
            <w:tcW w:type="dxa" w:w="3216"/>
            <w:vAlign w:val="center"/>
          </w:tcPr>
          <w:p>
            <w:pPr>
              <w:spacing w:after="0"/>
            </w:pPr>
            <w:r/>
            <w:r>
              <w:rPr>
                <w:rFonts w:ascii="Calibri" w:hAnsi="Calibri"/>
                <w:b w:val="0"/>
                <w:sz w:val="15"/>
              </w:rPr>
              <w:t>Seller &amp; Admin Service</w:t>
            </w:r>
          </w:p>
        </w:tc>
        <w:tc>
          <w:tcPr>
            <w:tcW w:type="dxa" w:w="3216"/>
            <w:vAlign w:val="center"/>
          </w:tcPr>
          <w:p>
            <w:pPr>
              <w:spacing w:after="0"/>
            </w:pPr>
            <w:r/>
            <w:r>
              <w:rPr>
                <w:rFonts w:ascii="Calibri" w:hAnsi="Calibri"/>
                <w:b w:val="0"/>
                <w:sz w:val="15"/>
              </w:rPr>
              <w:t>Listing/inventory management, low-stock handling, fulfilment, seller dashboard, moderation and platform reports.</w:t>
            </w:r>
          </w:p>
        </w:tc>
        <w:tc>
          <w:tcPr>
            <w:tcW w:type="dxa" w:w="3216"/>
            <w:vAlign w:val="center"/>
          </w:tcPr>
          <w:p>
            <w:pPr>
              <w:spacing w:after="0"/>
            </w:pPr>
            <w:r/>
            <w:r>
              <w:rPr>
                <w:rFonts w:ascii="Calibri" w:hAnsi="Calibri"/>
                <w:b w:val="0"/>
                <w:sz w:val="15"/>
              </w:rPr>
              <w:t>FR-19 to FR-24; NFR-02, NFR-06</w:t>
            </w:r>
          </w:p>
        </w:tc>
      </w:tr>
      <w:tr>
        <w:tc>
          <w:tcPr>
            <w:tcW w:type="dxa" w:w="3216"/>
            <w:vAlign w:val="center"/>
          </w:tcPr>
          <w:p>
            <w:pPr>
              <w:spacing w:after="0"/>
            </w:pPr>
            <w:r/>
            <w:r>
              <w:rPr>
                <w:rFonts w:ascii="Calibri" w:hAnsi="Calibri"/>
                <w:b w:val="0"/>
                <w:sz w:val="15"/>
              </w:rPr>
              <w:t>Notification Service</w:t>
            </w:r>
          </w:p>
        </w:tc>
        <w:tc>
          <w:tcPr>
            <w:tcW w:type="dxa" w:w="3216"/>
            <w:vAlign w:val="center"/>
          </w:tcPr>
          <w:p>
            <w:pPr>
              <w:spacing w:after="0"/>
            </w:pPr>
            <w:r/>
            <w:r>
              <w:rPr>
                <w:rFonts w:ascii="Calibri" w:hAnsi="Calibri"/>
                <w:b w:val="0"/>
                <w:sz w:val="15"/>
              </w:rPr>
              <w:t>OTP, order confirmation, invoice and low-stock e-mail delivery; queue/retry handling.</w:t>
            </w:r>
          </w:p>
        </w:tc>
        <w:tc>
          <w:tcPr>
            <w:tcW w:type="dxa" w:w="3216"/>
            <w:vAlign w:val="center"/>
          </w:tcPr>
          <w:p>
            <w:pPr>
              <w:spacing w:after="0"/>
            </w:pPr>
            <w:r/>
            <w:r>
              <w:rPr>
                <w:rFonts w:ascii="Calibri" w:hAnsi="Calibri"/>
                <w:b w:val="0"/>
                <w:sz w:val="15"/>
              </w:rPr>
              <w:t>FR-02, FR-04, FR-17, FR-20, FR-21</w:t>
            </w:r>
          </w:p>
        </w:tc>
      </w:tr>
      <w:tr>
        <w:tc>
          <w:tcPr>
            <w:tcW w:type="dxa" w:w="3216"/>
            <w:vAlign w:val="center"/>
          </w:tcPr>
          <w:p>
            <w:pPr>
              <w:spacing w:after="0"/>
            </w:pPr>
            <w:r/>
            <w:r>
              <w:rPr>
                <w:rFonts w:ascii="Calibri" w:hAnsi="Calibri"/>
                <w:b w:val="0"/>
                <w:sz w:val="15"/>
              </w:rPr>
              <w:t>MongoDB Atlas</w:t>
            </w:r>
          </w:p>
        </w:tc>
        <w:tc>
          <w:tcPr>
            <w:tcW w:type="dxa" w:w="3216"/>
            <w:vAlign w:val="center"/>
          </w:tcPr>
          <w:p>
            <w:pPr>
              <w:spacing w:after="0"/>
            </w:pPr>
            <w:r/>
            <w:r>
              <w:rPr>
                <w:rFonts w:ascii="Calibri" w:hAnsi="Calibri"/>
                <w:b w:val="0"/>
                <w:sz w:val="15"/>
              </w:rPr>
              <w:t>Persistent collections for users, addresses, books, listings, carts, orders, payments, shipments, reviews and notifications.</w:t>
            </w:r>
          </w:p>
        </w:tc>
        <w:tc>
          <w:tcPr>
            <w:tcW w:type="dxa" w:w="3216"/>
            <w:vAlign w:val="center"/>
          </w:tcPr>
          <w:p>
            <w:pPr>
              <w:spacing w:after="0"/>
            </w:pPr>
            <w:r/>
            <w:r>
              <w:rPr>
                <w:rFonts w:ascii="Calibri" w:hAnsi="Calibri"/>
                <w:b w:val="0"/>
                <w:sz w:val="15"/>
              </w:rPr>
              <w:t>Persistent system data</w:t>
            </w:r>
          </w:p>
        </w:tc>
      </w:tr>
      <w:tr>
        <w:tc>
          <w:tcPr>
            <w:tcW w:type="dxa" w:w="3216"/>
            <w:vAlign w:val="center"/>
          </w:tcPr>
          <w:p>
            <w:pPr>
              <w:spacing w:after="0"/>
            </w:pPr>
            <w:r/>
            <w:r>
              <w:rPr>
                <w:rFonts w:ascii="Calibri" w:hAnsi="Calibri"/>
                <w:b w:val="0"/>
                <w:sz w:val="15"/>
              </w:rPr>
              <w:t>Redis</w:t>
            </w:r>
          </w:p>
        </w:tc>
        <w:tc>
          <w:tcPr>
            <w:tcW w:type="dxa" w:w="3216"/>
            <w:vAlign w:val="center"/>
          </w:tcPr>
          <w:p>
            <w:pPr>
              <w:spacing w:after="0"/>
            </w:pPr>
            <w:r/>
            <w:r>
              <w:rPr>
                <w:rFonts w:ascii="Calibri" w:hAnsi="Calibri"/>
                <w:b w:val="0"/>
                <w:sz w:val="15"/>
              </w:rPr>
              <w:t>Session storage and query caching for repeated filter/search combinations.</w:t>
            </w:r>
          </w:p>
        </w:tc>
        <w:tc>
          <w:tcPr>
            <w:tcW w:type="dxa" w:w="3216"/>
            <w:vAlign w:val="center"/>
          </w:tcPr>
          <w:p>
            <w:pPr>
              <w:spacing w:after="0"/>
            </w:pPr>
            <w:r/>
            <w:r>
              <w:rPr>
                <w:rFonts w:ascii="Calibri" w:hAnsi="Calibri"/>
                <w:b w:val="0"/>
                <w:sz w:val="15"/>
              </w:rPr>
              <w:t>NFR-01 and session support</w:t>
            </w:r>
          </w:p>
        </w:tc>
      </w:tr>
      <w:tr>
        <w:tc>
          <w:tcPr>
            <w:tcW w:type="dxa" w:w="3216"/>
            <w:vAlign w:val="center"/>
          </w:tcPr>
          <w:p>
            <w:pPr>
              <w:spacing w:after="0"/>
            </w:pPr>
            <w:r/>
            <w:r>
              <w:rPr>
                <w:rFonts w:ascii="Calibri" w:hAnsi="Calibri"/>
                <w:b w:val="0"/>
                <w:sz w:val="15"/>
              </w:rPr>
              <w:t>Payment Gateway</w:t>
            </w:r>
          </w:p>
        </w:tc>
        <w:tc>
          <w:tcPr>
            <w:tcW w:type="dxa" w:w="3216"/>
            <w:vAlign w:val="center"/>
          </w:tcPr>
          <w:p>
            <w:pPr>
              <w:spacing w:after="0"/>
            </w:pPr>
            <w:r/>
            <w:r>
              <w:rPr>
                <w:rFonts w:ascii="Calibri" w:hAnsi="Calibri"/>
                <w:b w:val="0"/>
                <w:sz w:val="15"/>
              </w:rPr>
              <w:t>Sandbox authorization/capture; application receives payment status through a signed callback.</w:t>
            </w:r>
          </w:p>
        </w:tc>
        <w:tc>
          <w:tcPr>
            <w:tcW w:type="dxa" w:w="3216"/>
            <w:vAlign w:val="center"/>
          </w:tcPr>
          <w:p>
            <w:pPr>
              <w:spacing w:after="0"/>
            </w:pPr>
            <w:r/>
            <w:r>
              <w:rPr>
                <w:rFonts w:ascii="Calibri" w:hAnsi="Calibri"/>
                <w:b w:val="0"/>
                <w:sz w:val="15"/>
              </w:rPr>
              <w:t>FR-16; payment security</w:t>
            </w:r>
          </w:p>
        </w:tc>
      </w:tr>
      <w:tr>
        <w:tc>
          <w:tcPr>
            <w:tcW w:type="dxa" w:w="3216"/>
            <w:vAlign w:val="center"/>
          </w:tcPr>
          <w:p>
            <w:pPr>
              <w:spacing w:after="0"/>
            </w:pPr>
            <w:r/>
            <w:r>
              <w:rPr>
                <w:rFonts w:ascii="Calibri" w:hAnsi="Calibri"/>
                <w:b w:val="0"/>
                <w:sz w:val="15"/>
              </w:rPr>
              <w:t>SMTP Service</w:t>
            </w:r>
          </w:p>
        </w:tc>
        <w:tc>
          <w:tcPr>
            <w:tcW w:type="dxa" w:w="3216"/>
            <w:vAlign w:val="center"/>
          </w:tcPr>
          <w:p>
            <w:pPr>
              <w:spacing w:after="0"/>
            </w:pPr>
            <w:r/>
            <w:r>
              <w:rPr>
                <w:rFonts w:ascii="Calibri" w:hAnsi="Calibri"/>
                <w:b w:val="0"/>
                <w:sz w:val="15"/>
              </w:rPr>
              <w:t>TLS e-mail delivery for OTPs, confirmations, invoices and alerts.</w:t>
            </w:r>
          </w:p>
        </w:tc>
        <w:tc>
          <w:tcPr>
            <w:tcW w:type="dxa" w:w="3216"/>
            <w:vAlign w:val="center"/>
          </w:tcPr>
          <w:p>
            <w:pPr>
              <w:spacing w:after="0"/>
            </w:pPr>
            <w:r/>
            <w:r>
              <w:rPr>
                <w:rFonts w:ascii="Calibri" w:hAnsi="Calibri"/>
                <w:b w:val="0"/>
                <w:sz w:val="15"/>
              </w:rPr>
              <w:t>FR-02, FR-04, FR-17, FR-20, FR-21</w:t>
            </w:r>
          </w:p>
        </w:tc>
      </w:tr>
      <w:tr>
        <w:tc>
          <w:tcPr>
            <w:tcW w:type="dxa" w:w="3216"/>
            <w:vAlign w:val="center"/>
          </w:tcPr>
          <w:p>
            <w:pPr>
              <w:spacing w:after="0"/>
            </w:pPr>
            <w:r/>
            <w:r>
              <w:rPr>
                <w:rFonts w:ascii="Calibri" w:hAnsi="Calibri"/>
                <w:b w:val="0"/>
                <w:sz w:val="15"/>
              </w:rPr>
              <w:t>Cloud Object Store</w:t>
            </w:r>
          </w:p>
        </w:tc>
        <w:tc>
          <w:tcPr>
            <w:tcW w:type="dxa" w:w="3216"/>
            <w:vAlign w:val="center"/>
          </w:tcPr>
          <w:p>
            <w:pPr>
              <w:spacing w:after="0"/>
            </w:pPr>
            <w:r/>
            <w:r>
              <w:rPr>
                <w:rFonts w:ascii="Calibri" w:hAnsi="Calibri"/>
                <w:b w:val="0"/>
                <w:sz w:val="15"/>
              </w:rPr>
              <w:t>Storage/retrieval of book cover images.</w:t>
            </w:r>
          </w:p>
        </w:tc>
        <w:tc>
          <w:tcPr>
            <w:tcW w:type="dxa" w:w="3216"/>
            <w:vAlign w:val="center"/>
          </w:tcPr>
          <w:p>
            <w:pPr>
              <w:spacing w:after="0"/>
            </w:pPr>
            <w:r/>
            <w:r>
              <w:rPr>
                <w:rFonts w:ascii="Calibri" w:hAnsi="Calibri"/>
                <w:b w:val="0"/>
                <w:sz w:val="15"/>
              </w:rPr>
              <w:t>External interface 3.2</w:t>
            </w:r>
          </w:p>
        </w:tc>
      </w:tr>
    </w:tbl>
    <w:p>
      <w:pPr>
        <w:spacing w:after="0"/>
      </w:pPr>
    </w:p>
    <w:p>
      <w:pPr>
        <w:pStyle w:val="Heading2"/>
        <w:spacing w:before="100" w:after="80"/>
      </w:pPr>
      <w:r>
        <w:t>3.5 Chosen Architecture Pattern and Rationale</w:t>
      </w:r>
    </w:p>
    <w:p>
      <w:pPr>
        <w:spacing w:after="100" w:line="259" w:lineRule="auto"/>
      </w:pPr>
      <w:r>
        <w:t>The system uses a three-tier layered architecture with modular services inside the application/service tier. This is consistent with the SRS product perspective: React SPA as the client, Node.js/Express as the REST service layer, and MongoDB as the data store, with Redis and external services supporting the application. The pattern separates presentation, business/service logic and persistence concerns, while the internal service boundaries keep authentication, catalogue, ordering and seller administration independently testable.</w:t>
      </w:r>
    </w:p>
    <w:p>
      <w:pPr>
        <w:spacing w:after="60"/>
      </w:pPr>
      <w:r>
        <w:t>Presentation layer: React SPA and shared component library.</w:t>
      </w:r>
    </w:p>
    <w:p>
      <w:pPr>
        <w:spacing w:after="60"/>
      </w:pPr>
      <w:r>
        <w:t>Service layer: Express REST API and responsibility-oriented service modules.</w:t>
      </w:r>
    </w:p>
    <w:p>
      <w:pPr>
        <w:spacing w:after="60"/>
      </w:pPr>
      <w:r>
        <w:t>Persistence/integration layer: MongoDB, Redis, payment gateway, SMTP and object storage.</w:t>
      </w:r>
    </w:p>
    <w:p>
      <w:pPr>
        <w:spacing w:after="60"/>
      </w:pPr>
      <w:r>
        <w:t>External systems are isolated behind interfaces so payment and e-mail can be stubbed in tests.</w:t>
      </w:r>
    </w:p>
    <w:p>
      <w:pPr>
        <w:spacing w:after="100" w:line="259" w:lineRule="auto"/>
      </w:pPr>
      <w:r>
        <w:t>A microservices deployment is not required for the current semester-scale system. Keeping the modules within one service deployment reduces operational overhead while preserving clear logical boundaries and future extraction points.</w:t>
      </w:r>
    </w:p>
    <w:p>
      <w:pPr>
        <w:pStyle w:val="Heading2"/>
        <w:spacing w:before="100" w:after="80"/>
      </w:pPr>
      <w:r>
        <w:t>3.6 Technology Stack &amp; Data Stores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Layer / Area</w:t>
            </w:r>
          </w:p>
        </w:tc>
        <w:tc>
          <w:tcPr>
            <w:tcW w:type="dxa" w:w="3216"/>
            <w:vAlign w:val="center"/>
            <w:shd w:fill="D9EAF7"/>
          </w:tcPr>
          <w:p>
            <w:pPr>
              <w:spacing w:after="0"/>
            </w:pPr>
            <w:r/>
            <w:r>
              <w:rPr>
                <w:rFonts w:ascii="Calibri" w:hAnsi="Calibri"/>
                <w:b/>
                <w:sz w:val="16"/>
              </w:rPr>
              <w:t>Technology</w:t>
            </w:r>
          </w:p>
        </w:tc>
        <w:tc>
          <w:tcPr>
            <w:tcW w:type="dxa" w:w="3216"/>
            <w:vAlign w:val="center"/>
            <w:shd w:fill="D9EAF7"/>
          </w:tcPr>
          <w:p>
            <w:pPr>
              <w:spacing w:after="0"/>
            </w:pPr>
            <w:r/>
            <w:r>
              <w:rPr>
                <w:rFonts w:ascii="Calibri" w:hAnsi="Calibri"/>
                <w:b/>
                <w:sz w:val="16"/>
              </w:rPr>
              <w:t>Purpose</w:t>
            </w:r>
          </w:p>
        </w:tc>
      </w:tr>
      <w:tr>
        <w:tc>
          <w:tcPr>
            <w:tcW w:type="dxa" w:w="3216"/>
            <w:vAlign w:val="center"/>
          </w:tcPr>
          <w:p>
            <w:pPr>
              <w:spacing w:after="0"/>
            </w:pPr>
            <w:r/>
            <w:r>
              <w:rPr>
                <w:rFonts w:ascii="Calibri" w:hAnsi="Calibri"/>
                <w:b w:val="0"/>
                <w:sz w:val="16"/>
              </w:rPr>
              <w:t>Client</w:t>
            </w:r>
          </w:p>
        </w:tc>
        <w:tc>
          <w:tcPr>
            <w:tcW w:type="dxa" w:w="3216"/>
            <w:vAlign w:val="center"/>
          </w:tcPr>
          <w:p>
            <w:pPr>
              <w:spacing w:after="0"/>
            </w:pPr>
            <w:r/>
            <w:r>
              <w:rPr>
                <w:rFonts w:ascii="Calibri" w:hAnsi="Calibri"/>
                <w:b w:val="0"/>
                <w:sz w:val="16"/>
              </w:rPr>
              <w:t>React</w:t>
            </w:r>
          </w:p>
        </w:tc>
        <w:tc>
          <w:tcPr>
            <w:tcW w:type="dxa" w:w="3216"/>
            <w:vAlign w:val="center"/>
          </w:tcPr>
          <w:p>
            <w:pPr>
              <w:spacing w:after="0"/>
            </w:pPr>
            <w:r/>
            <w:r>
              <w:rPr>
                <w:rFonts w:ascii="Calibri" w:hAnsi="Calibri"/>
                <w:b w:val="0"/>
                <w:sz w:val="16"/>
              </w:rPr>
              <w:t>Single-page responsive application and shared UI components.</w:t>
            </w:r>
          </w:p>
        </w:tc>
      </w:tr>
      <w:tr>
        <w:tc>
          <w:tcPr>
            <w:tcW w:type="dxa" w:w="3216"/>
            <w:vAlign w:val="center"/>
          </w:tcPr>
          <w:p>
            <w:pPr>
              <w:spacing w:after="0"/>
            </w:pPr>
            <w:r/>
            <w:r>
              <w:rPr>
                <w:rFonts w:ascii="Calibri" w:hAnsi="Calibri"/>
                <w:b w:val="0"/>
                <w:sz w:val="16"/>
              </w:rPr>
              <w:t>Server</w:t>
            </w:r>
          </w:p>
        </w:tc>
        <w:tc>
          <w:tcPr>
            <w:tcW w:type="dxa" w:w="3216"/>
            <w:vAlign w:val="center"/>
          </w:tcPr>
          <w:p>
            <w:pPr>
              <w:spacing w:after="0"/>
            </w:pPr>
            <w:r/>
            <w:r>
              <w:rPr>
                <w:rFonts w:ascii="Calibri" w:hAnsi="Calibri"/>
                <w:b w:val="0"/>
                <w:sz w:val="16"/>
              </w:rPr>
              <w:t>Node.js 20 LTS + Express.js</w:t>
            </w:r>
          </w:p>
        </w:tc>
        <w:tc>
          <w:tcPr>
            <w:tcW w:type="dxa" w:w="3216"/>
            <w:vAlign w:val="center"/>
          </w:tcPr>
          <w:p>
            <w:pPr>
              <w:spacing w:after="0"/>
            </w:pPr>
            <w:r/>
            <w:r>
              <w:rPr>
                <w:rFonts w:ascii="Calibri" w:hAnsi="Calibri"/>
                <w:b w:val="0"/>
                <w:sz w:val="16"/>
              </w:rPr>
              <w:t>REST API and service orchestration.</w:t>
            </w:r>
          </w:p>
        </w:tc>
      </w:tr>
      <w:tr>
        <w:tc>
          <w:tcPr>
            <w:tcW w:type="dxa" w:w="3216"/>
            <w:vAlign w:val="center"/>
          </w:tcPr>
          <w:p>
            <w:pPr>
              <w:spacing w:after="0"/>
            </w:pPr>
            <w:r/>
            <w:r>
              <w:rPr>
                <w:rFonts w:ascii="Calibri" w:hAnsi="Calibri"/>
                <w:b w:val="0"/>
                <w:sz w:val="16"/>
              </w:rPr>
              <w:t>Database</w:t>
            </w:r>
          </w:p>
        </w:tc>
        <w:tc>
          <w:tcPr>
            <w:tcW w:type="dxa" w:w="3216"/>
            <w:vAlign w:val="center"/>
          </w:tcPr>
          <w:p>
            <w:pPr>
              <w:spacing w:after="0"/>
            </w:pPr>
            <w:r/>
            <w:r>
              <w:rPr>
                <w:rFonts w:ascii="Calibri" w:hAnsi="Calibri"/>
                <w:b w:val="0"/>
                <w:sz w:val="16"/>
              </w:rPr>
              <w:t>MongoDB 7 / MongoDB Atlas</w:t>
            </w:r>
          </w:p>
        </w:tc>
        <w:tc>
          <w:tcPr>
            <w:tcW w:type="dxa" w:w="3216"/>
            <w:vAlign w:val="center"/>
          </w:tcPr>
          <w:p>
            <w:pPr>
              <w:spacing w:after="0"/>
            </w:pPr>
            <w:r/>
            <w:r>
              <w:rPr>
                <w:rFonts w:ascii="Calibri" w:hAnsi="Calibri"/>
                <w:b w:val="0"/>
                <w:sz w:val="16"/>
              </w:rPr>
              <w:t>Primary persistent document store.</w:t>
            </w:r>
          </w:p>
        </w:tc>
      </w:tr>
      <w:tr>
        <w:tc>
          <w:tcPr>
            <w:tcW w:type="dxa" w:w="3216"/>
            <w:vAlign w:val="center"/>
          </w:tcPr>
          <w:p>
            <w:pPr>
              <w:spacing w:after="0"/>
            </w:pPr>
            <w:r/>
            <w:r>
              <w:rPr>
                <w:rFonts w:ascii="Calibri" w:hAnsi="Calibri"/>
                <w:b w:val="0"/>
                <w:sz w:val="16"/>
              </w:rPr>
              <w:t>ODM</w:t>
            </w:r>
          </w:p>
        </w:tc>
        <w:tc>
          <w:tcPr>
            <w:tcW w:type="dxa" w:w="3216"/>
            <w:vAlign w:val="center"/>
          </w:tcPr>
          <w:p>
            <w:pPr>
              <w:spacing w:after="0"/>
            </w:pPr>
            <w:r/>
            <w:r>
              <w:rPr>
                <w:rFonts w:ascii="Calibri" w:hAnsi="Calibri"/>
                <w:b w:val="0"/>
                <w:sz w:val="16"/>
              </w:rPr>
              <w:t>Mongoose 8</w:t>
            </w:r>
          </w:p>
        </w:tc>
        <w:tc>
          <w:tcPr>
            <w:tcW w:type="dxa" w:w="3216"/>
            <w:vAlign w:val="center"/>
          </w:tcPr>
          <w:p>
            <w:pPr>
              <w:spacing w:after="0"/>
            </w:pPr>
            <w:r/>
            <w:r>
              <w:rPr>
                <w:rFonts w:ascii="Calibri" w:hAnsi="Calibri"/>
                <w:b w:val="0"/>
                <w:sz w:val="16"/>
              </w:rPr>
              <w:t>Application-side document modelling and database access.</w:t>
            </w:r>
          </w:p>
        </w:tc>
      </w:tr>
      <w:tr>
        <w:tc>
          <w:tcPr>
            <w:tcW w:type="dxa" w:w="3216"/>
            <w:vAlign w:val="center"/>
          </w:tcPr>
          <w:p>
            <w:pPr>
              <w:spacing w:after="0"/>
            </w:pPr>
            <w:r/>
            <w:r>
              <w:rPr>
                <w:rFonts w:ascii="Calibri" w:hAnsi="Calibri"/>
                <w:b w:val="0"/>
                <w:sz w:val="16"/>
              </w:rPr>
              <w:t>Cache / Session</w:t>
            </w:r>
          </w:p>
        </w:tc>
        <w:tc>
          <w:tcPr>
            <w:tcW w:type="dxa" w:w="3216"/>
            <w:vAlign w:val="center"/>
          </w:tcPr>
          <w:p>
            <w:pPr>
              <w:spacing w:after="0"/>
            </w:pPr>
            <w:r/>
            <w:r>
              <w:rPr>
                <w:rFonts w:ascii="Calibri" w:hAnsi="Calibri"/>
                <w:b w:val="0"/>
                <w:sz w:val="16"/>
              </w:rPr>
              <w:t>Redis 7</w:t>
            </w:r>
          </w:p>
        </w:tc>
        <w:tc>
          <w:tcPr>
            <w:tcW w:type="dxa" w:w="3216"/>
            <w:vAlign w:val="center"/>
          </w:tcPr>
          <w:p>
            <w:pPr>
              <w:spacing w:after="0"/>
            </w:pPr>
            <w:r/>
            <w:r>
              <w:rPr>
                <w:rFonts w:ascii="Calibri" w:hAnsi="Calibri"/>
                <w:b w:val="0"/>
                <w:sz w:val="16"/>
              </w:rPr>
              <w:t>Session storage and five-minute query/filter cache.</w:t>
            </w:r>
          </w:p>
        </w:tc>
      </w:tr>
      <w:tr>
        <w:tc>
          <w:tcPr>
            <w:tcW w:type="dxa" w:w="3216"/>
            <w:vAlign w:val="center"/>
          </w:tcPr>
          <w:p>
            <w:pPr>
              <w:spacing w:after="0"/>
            </w:pPr>
            <w:r/>
            <w:r>
              <w:rPr>
                <w:rFonts w:ascii="Calibri" w:hAnsi="Calibri"/>
                <w:b w:val="0"/>
                <w:sz w:val="16"/>
              </w:rPr>
              <w:t>Authentication</w:t>
            </w:r>
          </w:p>
        </w:tc>
        <w:tc>
          <w:tcPr>
            <w:tcW w:type="dxa" w:w="3216"/>
            <w:vAlign w:val="center"/>
          </w:tcPr>
          <w:p>
            <w:pPr>
              <w:spacing w:after="0"/>
            </w:pPr>
            <w:r/>
            <w:r>
              <w:rPr>
                <w:rFonts w:ascii="Calibri" w:hAnsi="Calibri"/>
                <w:b w:val="0"/>
                <w:sz w:val="16"/>
              </w:rPr>
              <w:t>JWT + bcrypt</w:t>
            </w:r>
          </w:p>
        </w:tc>
        <w:tc>
          <w:tcPr>
            <w:tcW w:type="dxa" w:w="3216"/>
            <w:vAlign w:val="center"/>
          </w:tcPr>
          <w:p>
            <w:pPr>
              <w:spacing w:after="0"/>
            </w:pPr>
            <w:r/>
            <w:r>
              <w:rPr>
                <w:rFonts w:ascii="Calibri" w:hAnsi="Calibri"/>
                <w:b w:val="0"/>
                <w:sz w:val="16"/>
              </w:rPr>
              <w:t>Access/refresh token model and password hashing.</w:t>
            </w:r>
          </w:p>
        </w:tc>
      </w:tr>
      <w:tr>
        <w:tc>
          <w:tcPr>
            <w:tcW w:type="dxa" w:w="3216"/>
            <w:vAlign w:val="center"/>
          </w:tcPr>
          <w:p>
            <w:pPr>
              <w:spacing w:after="0"/>
            </w:pPr>
            <w:r/>
            <w:r>
              <w:rPr>
                <w:rFonts w:ascii="Calibri" w:hAnsi="Calibri"/>
                <w:b w:val="0"/>
                <w:sz w:val="16"/>
              </w:rPr>
              <w:t>Payment</w:t>
            </w:r>
          </w:p>
        </w:tc>
        <w:tc>
          <w:tcPr>
            <w:tcW w:type="dxa" w:w="3216"/>
            <w:vAlign w:val="center"/>
          </w:tcPr>
          <w:p>
            <w:pPr>
              <w:spacing w:after="0"/>
            </w:pPr>
            <w:r/>
            <w:r>
              <w:rPr>
                <w:rFonts w:ascii="Calibri" w:hAnsi="Calibri"/>
                <w:b w:val="0"/>
                <w:sz w:val="16"/>
              </w:rPr>
              <w:t>Sandbox REST payment gateway</w:t>
            </w:r>
          </w:p>
        </w:tc>
        <w:tc>
          <w:tcPr>
            <w:tcW w:type="dxa" w:w="3216"/>
            <w:vAlign w:val="center"/>
          </w:tcPr>
          <w:p>
            <w:pPr>
              <w:spacing w:after="0"/>
            </w:pPr>
            <w:r/>
            <w:r>
              <w:rPr>
                <w:rFonts w:ascii="Calibri" w:hAnsi="Calibri"/>
                <w:b w:val="0"/>
                <w:sz w:val="16"/>
              </w:rPr>
              <w:t>Payment intent, authorization/capture and callback.</w:t>
            </w:r>
          </w:p>
        </w:tc>
      </w:tr>
      <w:tr>
        <w:tc>
          <w:tcPr>
            <w:tcW w:type="dxa" w:w="3216"/>
            <w:vAlign w:val="center"/>
          </w:tcPr>
          <w:p>
            <w:pPr>
              <w:spacing w:after="0"/>
            </w:pPr>
            <w:r/>
            <w:r>
              <w:rPr>
                <w:rFonts w:ascii="Calibri" w:hAnsi="Calibri"/>
                <w:b w:val="0"/>
                <w:sz w:val="16"/>
              </w:rPr>
              <w:t>Notification</w:t>
            </w:r>
          </w:p>
        </w:tc>
        <w:tc>
          <w:tcPr>
            <w:tcW w:type="dxa" w:w="3216"/>
            <w:vAlign w:val="center"/>
          </w:tcPr>
          <w:p>
            <w:pPr>
              <w:spacing w:after="0"/>
            </w:pPr>
            <w:r/>
            <w:r>
              <w:rPr>
                <w:rFonts w:ascii="Calibri" w:hAnsi="Calibri"/>
                <w:b w:val="0"/>
                <w:sz w:val="16"/>
              </w:rPr>
              <w:t>SMTP over TLS</w:t>
            </w:r>
          </w:p>
        </w:tc>
        <w:tc>
          <w:tcPr>
            <w:tcW w:type="dxa" w:w="3216"/>
            <w:vAlign w:val="center"/>
          </w:tcPr>
          <w:p>
            <w:pPr>
              <w:spacing w:after="0"/>
            </w:pPr>
            <w:r/>
            <w:r>
              <w:rPr>
                <w:rFonts w:ascii="Calibri" w:hAnsi="Calibri"/>
                <w:b w:val="0"/>
                <w:sz w:val="16"/>
              </w:rPr>
              <w:t>OTP, order confirmation, invoice and alert e-mail.</w:t>
            </w:r>
          </w:p>
        </w:tc>
      </w:tr>
      <w:tr>
        <w:tc>
          <w:tcPr>
            <w:tcW w:type="dxa" w:w="3216"/>
            <w:vAlign w:val="center"/>
          </w:tcPr>
          <w:p>
            <w:pPr>
              <w:spacing w:after="0"/>
            </w:pPr>
            <w:r/>
            <w:r>
              <w:rPr>
                <w:rFonts w:ascii="Calibri" w:hAnsi="Calibri"/>
                <w:b w:val="0"/>
                <w:sz w:val="16"/>
              </w:rPr>
              <w:t>Images</w:t>
            </w:r>
          </w:p>
        </w:tc>
        <w:tc>
          <w:tcPr>
            <w:tcW w:type="dxa" w:w="3216"/>
            <w:vAlign w:val="center"/>
          </w:tcPr>
          <w:p>
            <w:pPr>
              <w:spacing w:after="0"/>
            </w:pPr>
            <w:r/>
            <w:r>
              <w:rPr>
                <w:rFonts w:ascii="Calibri" w:hAnsi="Calibri"/>
                <w:b w:val="0"/>
                <w:sz w:val="16"/>
              </w:rPr>
              <w:t>Cloud object store</w:t>
            </w:r>
          </w:p>
        </w:tc>
        <w:tc>
          <w:tcPr>
            <w:tcW w:type="dxa" w:w="3216"/>
            <w:vAlign w:val="center"/>
          </w:tcPr>
          <w:p>
            <w:pPr>
              <w:spacing w:after="0"/>
            </w:pPr>
            <w:r/>
            <w:r>
              <w:rPr>
                <w:rFonts w:ascii="Calibri" w:hAnsi="Calibri"/>
                <w:b w:val="0"/>
                <w:sz w:val="16"/>
              </w:rPr>
              <w:t>Book cover image storage.</w:t>
            </w:r>
          </w:p>
        </w:tc>
      </w:tr>
      <w:tr>
        <w:tc>
          <w:tcPr>
            <w:tcW w:type="dxa" w:w="3216"/>
            <w:vAlign w:val="center"/>
          </w:tcPr>
          <w:p>
            <w:pPr>
              <w:spacing w:after="0"/>
            </w:pPr>
            <w:r/>
            <w:r>
              <w:rPr>
                <w:rFonts w:ascii="Calibri" w:hAnsi="Calibri"/>
                <w:b w:val="0"/>
                <w:sz w:val="16"/>
              </w:rPr>
              <w:t>API contract</w:t>
            </w:r>
          </w:p>
        </w:tc>
        <w:tc>
          <w:tcPr>
            <w:tcW w:type="dxa" w:w="3216"/>
            <w:vAlign w:val="center"/>
          </w:tcPr>
          <w:p>
            <w:pPr>
              <w:spacing w:after="0"/>
            </w:pPr>
            <w:r/>
            <w:r>
              <w:rPr>
                <w:rFonts w:ascii="Calibri" w:hAnsi="Calibri"/>
                <w:b w:val="0"/>
                <w:sz w:val="16"/>
              </w:rPr>
              <w:t>OpenAPI document</w:t>
            </w:r>
          </w:p>
        </w:tc>
        <w:tc>
          <w:tcPr>
            <w:tcW w:type="dxa" w:w="3216"/>
            <w:vAlign w:val="center"/>
          </w:tcPr>
          <w:p>
            <w:pPr>
              <w:spacing w:after="0"/>
            </w:pPr>
            <w:r/>
            <w:r>
              <w:rPr>
                <w:rFonts w:ascii="Calibri" w:hAnsi="Calibri"/>
                <w:b w:val="0"/>
                <w:sz w:val="16"/>
              </w:rPr>
              <w:t>Authoritative REST API contract maintained in repository.</w:t>
            </w:r>
          </w:p>
        </w:tc>
      </w:tr>
      <w:tr>
        <w:tc>
          <w:tcPr>
            <w:tcW w:type="dxa" w:w="3216"/>
            <w:vAlign w:val="center"/>
          </w:tcPr>
          <w:p>
            <w:pPr>
              <w:spacing w:after="0"/>
            </w:pPr>
            <w:r/>
            <w:r>
              <w:rPr>
                <w:rFonts w:ascii="Calibri" w:hAnsi="Calibri"/>
                <w:b w:val="0"/>
                <w:sz w:val="16"/>
              </w:rPr>
              <w:t>CI / Quality</w:t>
            </w:r>
          </w:p>
        </w:tc>
        <w:tc>
          <w:tcPr>
            <w:tcW w:type="dxa" w:w="3216"/>
            <w:vAlign w:val="center"/>
          </w:tcPr>
          <w:p>
            <w:pPr>
              <w:spacing w:after="0"/>
            </w:pPr>
            <w:r/>
            <w:r>
              <w:rPr>
                <w:rFonts w:ascii="Calibri" w:hAnsi="Calibri"/>
                <w:b w:val="0"/>
                <w:sz w:val="16"/>
              </w:rPr>
              <w:t>ESLint + unit tests</w:t>
            </w:r>
          </w:p>
        </w:tc>
        <w:tc>
          <w:tcPr>
            <w:tcW w:type="dxa" w:w="3216"/>
            <w:vAlign w:val="center"/>
          </w:tcPr>
          <w:p>
            <w:pPr>
              <w:spacing w:after="0"/>
            </w:pPr>
            <w:r/>
            <w:r>
              <w:rPr>
                <w:rFonts w:ascii="Calibri" w:hAnsi="Calibri"/>
                <w:b w:val="0"/>
                <w:sz w:val="16"/>
              </w:rPr>
              <w:t>Zero ESLint errors and minimum 70% service-module unit-test coverage.</w:t>
            </w:r>
          </w:p>
        </w:tc>
      </w:tr>
    </w:tbl>
    <w:p>
      <w:pPr>
        <w:spacing w:after="0"/>
      </w:pPr>
    </w:p>
    <w:p>
      <w:pPr>
        <w:pStyle w:val="Heading2"/>
        <w:spacing w:before="100" w:after="80"/>
      </w:pPr>
      <w:r>
        <w:t>3.7 Risks &amp; Mitigations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Risk</w:t>
            </w:r>
          </w:p>
        </w:tc>
        <w:tc>
          <w:tcPr>
            <w:tcW w:type="dxa" w:w="3216"/>
            <w:vAlign w:val="center"/>
            <w:shd w:fill="D9EAF7"/>
          </w:tcPr>
          <w:p>
            <w:pPr>
              <w:spacing w:after="0"/>
            </w:pPr>
            <w:r/>
            <w:r>
              <w:rPr>
                <w:rFonts w:ascii="Calibri" w:hAnsi="Calibri"/>
                <w:b/>
                <w:sz w:val="16"/>
              </w:rPr>
              <w:t>Impact</w:t>
            </w:r>
          </w:p>
        </w:tc>
        <w:tc>
          <w:tcPr>
            <w:tcW w:type="dxa" w:w="3216"/>
            <w:vAlign w:val="center"/>
            <w:shd w:fill="D9EAF7"/>
          </w:tcPr>
          <w:p>
            <w:pPr>
              <w:spacing w:after="0"/>
            </w:pPr>
            <w:r/>
            <w:r>
              <w:rPr>
                <w:rFonts w:ascii="Calibri" w:hAnsi="Calibri"/>
                <w:b/>
                <w:sz w:val="16"/>
              </w:rPr>
              <w:t>Mitigation</w:t>
            </w:r>
          </w:p>
        </w:tc>
      </w:tr>
      <w:tr>
        <w:tc>
          <w:tcPr>
            <w:tcW w:type="dxa" w:w="3216"/>
            <w:vAlign w:val="center"/>
          </w:tcPr>
          <w:p>
            <w:pPr>
              <w:spacing w:after="0"/>
            </w:pPr>
            <w:r/>
            <w:r>
              <w:rPr>
                <w:rFonts w:ascii="Calibri" w:hAnsi="Calibri"/>
                <w:b w:val="0"/>
                <w:sz w:val="16"/>
              </w:rPr>
              <w:t>Payment gateway unavailable</w:t>
            </w:r>
          </w:p>
        </w:tc>
        <w:tc>
          <w:tcPr>
            <w:tcW w:type="dxa" w:w="3216"/>
            <w:vAlign w:val="center"/>
          </w:tcPr>
          <w:p>
            <w:pPr>
              <w:spacing w:after="0"/>
            </w:pPr>
            <w:r/>
            <w:r>
              <w:rPr>
                <w:rFonts w:ascii="Calibri" w:hAnsi="Calibri"/>
                <w:b w:val="0"/>
                <w:sz w:val="16"/>
              </w:rPr>
              <w:t>Checkout cannot complete.</w:t>
            </w:r>
          </w:p>
        </w:tc>
        <w:tc>
          <w:tcPr>
            <w:tcW w:type="dxa" w:w="3216"/>
            <w:vAlign w:val="center"/>
          </w:tcPr>
          <w:p>
            <w:pPr>
              <w:spacing w:after="0"/>
            </w:pPr>
            <w:r/>
            <w:r>
              <w:rPr>
                <w:rFonts w:ascii="Calibri" w:hAnsi="Calibri"/>
                <w:b w:val="0"/>
                <w:sz w:val="16"/>
              </w:rPr>
              <w:t>Leave order in PLACED state, do not decrement stock, display retry path and rely on sandbox availability assumption.</w:t>
            </w:r>
          </w:p>
        </w:tc>
      </w:tr>
      <w:tr>
        <w:tc>
          <w:tcPr>
            <w:tcW w:type="dxa" w:w="3216"/>
            <w:vAlign w:val="center"/>
          </w:tcPr>
          <w:p>
            <w:pPr>
              <w:spacing w:after="0"/>
            </w:pPr>
            <w:r/>
            <w:r>
              <w:rPr>
                <w:rFonts w:ascii="Calibri" w:hAnsi="Calibri"/>
                <w:b w:val="0"/>
                <w:sz w:val="16"/>
              </w:rPr>
              <w:t>SMTP unavailable</w:t>
            </w:r>
          </w:p>
        </w:tc>
        <w:tc>
          <w:tcPr>
            <w:tcW w:type="dxa" w:w="3216"/>
            <w:vAlign w:val="center"/>
          </w:tcPr>
          <w:p>
            <w:pPr>
              <w:spacing w:after="0"/>
            </w:pPr>
            <w:r/>
            <w:r>
              <w:rPr>
                <w:rFonts w:ascii="Calibri" w:hAnsi="Calibri"/>
                <w:b w:val="0"/>
                <w:sz w:val="16"/>
              </w:rPr>
              <w:t>OTP/notification delivery delayed.</w:t>
            </w:r>
          </w:p>
        </w:tc>
        <w:tc>
          <w:tcPr>
            <w:tcW w:type="dxa" w:w="3216"/>
            <w:vAlign w:val="center"/>
          </w:tcPr>
          <w:p>
            <w:pPr>
              <w:spacing w:after="0"/>
            </w:pPr>
            <w:r/>
            <w:r>
              <w:rPr>
                <w:rFonts w:ascii="Calibri" w:hAnsi="Calibri"/>
                <w:b w:val="0"/>
                <w:sz w:val="16"/>
              </w:rPr>
              <w:t>Queue notification and retry up to three times with exponential backoff; expose resend for OTP.</w:t>
            </w:r>
          </w:p>
        </w:tc>
      </w:tr>
      <w:tr>
        <w:tc>
          <w:tcPr>
            <w:tcW w:type="dxa" w:w="3216"/>
            <w:vAlign w:val="center"/>
          </w:tcPr>
          <w:p>
            <w:pPr>
              <w:spacing w:after="0"/>
            </w:pPr>
            <w:r/>
            <w:r>
              <w:rPr>
                <w:rFonts w:ascii="Calibri" w:hAnsi="Calibri"/>
                <w:b w:val="0"/>
                <w:sz w:val="16"/>
              </w:rPr>
              <w:t>Redis unavailable</w:t>
            </w:r>
          </w:p>
        </w:tc>
        <w:tc>
          <w:tcPr>
            <w:tcW w:type="dxa" w:w="3216"/>
            <w:vAlign w:val="center"/>
          </w:tcPr>
          <w:p>
            <w:pPr>
              <w:spacing w:after="0"/>
            </w:pPr>
            <w:r/>
            <w:r>
              <w:rPr>
                <w:rFonts w:ascii="Calibri" w:hAnsi="Calibri"/>
                <w:b w:val="0"/>
                <w:sz w:val="16"/>
              </w:rPr>
              <w:t>Performance degradation and session/cache disruption.</w:t>
            </w:r>
          </w:p>
        </w:tc>
        <w:tc>
          <w:tcPr>
            <w:tcW w:type="dxa" w:w="3216"/>
            <w:vAlign w:val="center"/>
          </w:tcPr>
          <w:p>
            <w:pPr>
              <w:spacing w:after="0"/>
            </w:pPr>
            <w:r/>
            <w:r>
              <w:rPr>
                <w:rFonts w:ascii="Calibri" w:hAnsi="Calibri"/>
                <w:b w:val="0"/>
                <w:sz w:val="16"/>
              </w:rPr>
              <w:t>Use read-through caching and database fallback for session storage as stated in SRS.</w:t>
            </w:r>
          </w:p>
        </w:tc>
      </w:tr>
      <w:tr>
        <w:tc>
          <w:tcPr>
            <w:tcW w:type="dxa" w:w="3216"/>
            <w:vAlign w:val="center"/>
          </w:tcPr>
          <w:p>
            <w:pPr>
              <w:spacing w:after="0"/>
            </w:pPr>
            <w:r/>
            <w:r>
              <w:rPr>
                <w:rFonts w:ascii="Calibri" w:hAnsi="Calibri"/>
                <w:b w:val="0"/>
                <w:sz w:val="16"/>
              </w:rPr>
              <w:t>Concurrent purchase of last stock</w:t>
            </w:r>
          </w:p>
        </w:tc>
        <w:tc>
          <w:tcPr>
            <w:tcW w:type="dxa" w:w="3216"/>
            <w:vAlign w:val="center"/>
          </w:tcPr>
          <w:p>
            <w:pPr>
              <w:spacing w:after="0"/>
            </w:pPr>
            <w:r/>
            <w:r>
              <w:rPr>
                <w:rFonts w:ascii="Calibri" w:hAnsi="Calibri"/>
                <w:b w:val="0"/>
                <w:sz w:val="16"/>
              </w:rPr>
              <w:t>Overselling and data inconsistency.</w:t>
            </w:r>
          </w:p>
        </w:tc>
        <w:tc>
          <w:tcPr>
            <w:tcW w:type="dxa" w:w="3216"/>
            <w:vAlign w:val="center"/>
          </w:tcPr>
          <w:p>
            <w:pPr>
              <w:spacing w:after="0"/>
            </w:pPr>
            <w:r/>
            <w:r>
              <w:rPr>
                <w:rFonts w:ascii="Calibri" w:hAnsi="Calibri"/>
                <w:b w:val="0"/>
                <w:sz w:val="16"/>
              </w:rPr>
              <w:t>Atomic stock decrement at payment confirmation; verify with concurrent system test.</w:t>
            </w:r>
          </w:p>
        </w:tc>
      </w:tr>
      <w:tr>
        <w:tc>
          <w:tcPr>
            <w:tcW w:type="dxa" w:w="3216"/>
            <w:vAlign w:val="center"/>
          </w:tcPr>
          <w:p>
            <w:pPr>
              <w:spacing w:after="0"/>
            </w:pPr>
            <w:r/>
            <w:r>
              <w:rPr>
                <w:rFonts w:ascii="Calibri" w:hAnsi="Calibri"/>
                <w:b w:val="0"/>
                <w:sz w:val="16"/>
              </w:rPr>
              <w:t>Unauthorized route/object access</w:t>
            </w:r>
          </w:p>
        </w:tc>
        <w:tc>
          <w:tcPr>
            <w:tcW w:type="dxa" w:w="3216"/>
            <w:vAlign w:val="center"/>
          </w:tcPr>
          <w:p>
            <w:pPr>
              <w:spacing w:after="0"/>
            </w:pPr>
            <w:r/>
            <w:r>
              <w:rPr>
                <w:rFonts w:ascii="Calibri" w:hAnsi="Calibri"/>
                <w:b w:val="0"/>
                <w:sz w:val="16"/>
              </w:rPr>
              <w:t>Privacy or privilege violation.</w:t>
            </w:r>
          </w:p>
        </w:tc>
        <w:tc>
          <w:tcPr>
            <w:tcW w:type="dxa" w:w="3216"/>
            <w:vAlign w:val="center"/>
          </w:tcPr>
          <w:p>
            <w:pPr>
              <w:spacing w:after="0"/>
            </w:pPr>
            <w:r/>
            <w:r>
              <w:rPr>
                <w:rFonts w:ascii="Calibri" w:hAnsi="Calibri"/>
                <w:b w:val="0"/>
                <w:sz w:val="16"/>
              </w:rPr>
              <w:t>Server-side RBAC and object-level ownership checks on every protected read.</w:t>
            </w:r>
          </w:p>
        </w:tc>
      </w:tr>
      <w:tr>
        <w:tc>
          <w:tcPr>
            <w:tcW w:type="dxa" w:w="3216"/>
            <w:vAlign w:val="center"/>
          </w:tcPr>
          <w:p>
            <w:pPr>
              <w:spacing w:after="0"/>
            </w:pPr>
            <w:r/>
            <w:r>
              <w:rPr>
                <w:rFonts w:ascii="Calibri" w:hAnsi="Calibri"/>
                <w:b w:val="0"/>
                <w:sz w:val="16"/>
              </w:rPr>
              <w:t>Database/service failure</w:t>
            </w:r>
          </w:p>
        </w:tc>
        <w:tc>
          <w:tcPr>
            <w:tcW w:type="dxa" w:w="3216"/>
            <w:vAlign w:val="center"/>
          </w:tcPr>
          <w:p>
            <w:pPr>
              <w:spacing w:after="0"/>
            </w:pPr>
            <w:r/>
            <w:r>
              <w:rPr>
                <w:rFonts w:ascii="Calibri" w:hAnsi="Calibri"/>
                <w:b w:val="0"/>
                <w:sz w:val="16"/>
              </w:rPr>
              <w:t>Availability loss.</w:t>
            </w:r>
          </w:p>
        </w:tc>
        <w:tc>
          <w:tcPr>
            <w:tcW w:type="dxa" w:w="3216"/>
            <w:vAlign w:val="center"/>
          </w:tcPr>
          <w:p>
            <w:pPr>
              <w:spacing w:after="0"/>
            </w:pPr>
            <w:r/>
            <w:r>
              <w:rPr>
                <w:rFonts w:ascii="Calibri" w:hAnsi="Calibri"/>
                <w:b w:val="0"/>
                <w:sz w:val="16"/>
              </w:rPr>
              <w:t>Managed database, health checks, daily automated backup and restore rehearsal before demonstration.</w:t>
            </w:r>
          </w:p>
        </w:tc>
      </w:tr>
      <w:tr>
        <w:tc>
          <w:tcPr>
            <w:tcW w:type="dxa" w:w="3216"/>
            <w:vAlign w:val="center"/>
          </w:tcPr>
          <w:p>
            <w:pPr>
              <w:spacing w:after="0"/>
            </w:pPr>
            <w:r/>
            <w:r>
              <w:rPr>
                <w:rFonts w:ascii="Calibri" w:hAnsi="Calibri"/>
                <w:b w:val="0"/>
                <w:sz w:val="16"/>
              </w:rPr>
              <w:t>Third-party free-tier limits</w:t>
            </w:r>
          </w:p>
        </w:tc>
        <w:tc>
          <w:tcPr>
            <w:tcW w:type="dxa" w:w="3216"/>
            <w:vAlign w:val="center"/>
          </w:tcPr>
          <w:p>
            <w:pPr>
              <w:spacing w:after="0"/>
            </w:pPr>
            <w:r/>
            <w:r>
              <w:rPr>
                <w:rFonts w:ascii="Calibri" w:hAnsi="Calibri"/>
                <w:b w:val="0"/>
                <w:sz w:val="16"/>
              </w:rPr>
              <w:t>Resource exhaustion.</w:t>
            </w:r>
          </w:p>
        </w:tc>
        <w:tc>
          <w:tcPr>
            <w:tcW w:type="dxa" w:w="3216"/>
            <w:vAlign w:val="center"/>
          </w:tcPr>
          <w:p>
            <w:pPr>
              <w:spacing w:after="0"/>
            </w:pPr>
            <w:r/>
            <w:r>
              <w:rPr>
                <w:rFonts w:ascii="Calibri" w:hAnsi="Calibri"/>
                <w:b w:val="0"/>
                <w:sz w:val="16"/>
              </w:rPr>
              <w:t>Monitor storage/e-mail/container usage and keep external integrations within free-tier constraints.</w:t>
            </w:r>
          </w:p>
        </w:tc>
      </w:tr>
    </w:tbl>
    <w:p>
      <w:pPr>
        <w:spacing w:after="0"/>
      </w:pPr>
    </w:p>
    <w:p>
      <w:pPr>
        <w:pStyle w:val="Heading2"/>
        <w:spacing w:before="100" w:after="80"/>
      </w:pPr>
      <w:r>
        <w:t>3.8 Traceability to Requirements</w:t>
      </w:r>
    </w:p>
    <w:p>
      <w:pPr>
        <w:spacing w:after="100" w:line="259" w:lineRule="auto"/>
      </w:pPr>
      <w:r>
        <w:t>The architecture mapping below summarizes the SRS traceability approach. The complete SRS RTM maps FR-01 to FR-24 and NFR-01 to NFR-08 to architecture, design, code and test artefacts.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Requirement</w:t>
            </w:r>
          </w:p>
        </w:tc>
        <w:tc>
          <w:tcPr>
            <w:tcW w:type="dxa" w:w="3216"/>
            <w:vAlign w:val="center"/>
            <w:shd w:fill="D9EAF7"/>
          </w:tcPr>
          <w:p>
            <w:pPr>
              <w:spacing w:after="0"/>
            </w:pPr>
            <w:r/>
            <w:r>
              <w:rPr>
                <w:rFonts w:ascii="Calibri" w:hAnsi="Calibri"/>
                <w:b/>
                <w:sz w:val="16"/>
              </w:rPr>
              <w:t>Architecture reference</w:t>
            </w:r>
          </w:p>
        </w:tc>
        <w:tc>
          <w:tcPr>
            <w:tcW w:type="dxa" w:w="3216"/>
            <w:vAlign w:val="center"/>
            <w:shd w:fill="D9EAF7"/>
          </w:tcPr>
          <w:p>
            <w:pPr>
              <w:spacing w:after="0"/>
            </w:pPr>
            <w:r/>
            <w:r>
              <w:rPr>
                <w:rFonts w:ascii="Calibri" w:hAnsi="Calibri"/>
                <w:b/>
                <w:sz w:val="16"/>
              </w:rPr>
              <w:t>Design responsibility</w:t>
            </w:r>
          </w:p>
        </w:tc>
      </w:tr>
      <w:tr>
        <w:tc>
          <w:tcPr>
            <w:tcW w:type="dxa" w:w="3216"/>
            <w:vAlign w:val="center"/>
          </w:tcPr>
          <w:p>
            <w:pPr>
              <w:spacing w:after="0"/>
            </w:pPr>
            <w:r/>
            <w:r>
              <w:rPr>
                <w:rFonts w:ascii="Calibri" w:hAnsi="Calibri"/>
                <w:b w:val="0"/>
                <w:sz w:val="16"/>
              </w:rPr>
              <w:t>FR-01–FR-06</w:t>
            </w:r>
          </w:p>
        </w:tc>
        <w:tc>
          <w:tcPr>
            <w:tcW w:type="dxa" w:w="3216"/>
            <w:vAlign w:val="center"/>
          </w:tcPr>
          <w:p>
            <w:pPr>
              <w:spacing w:after="0"/>
            </w:pPr>
            <w:r/>
            <w:r>
              <w:rPr>
                <w:rFonts w:ascii="Calibri" w:hAnsi="Calibri"/>
                <w:b w:val="0"/>
                <w:sz w:val="16"/>
              </w:rPr>
              <w:t>Auth &amp; User Service</w:t>
            </w:r>
          </w:p>
        </w:tc>
        <w:tc>
          <w:tcPr>
            <w:tcW w:type="dxa" w:w="3216"/>
            <w:vAlign w:val="center"/>
          </w:tcPr>
          <w:p>
            <w:pPr>
              <w:spacing w:after="0"/>
            </w:pPr>
            <w:r/>
            <w:r>
              <w:rPr>
                <w:rFonts w:ascii="Calibri" w:hAnsi="Calibri"/>
                <w:b w:val="0"/>
                <w:sz w:val="16"/>
              </w:rPr>
              <w:t>Registration, OTP, JWT, profile/address and RBAC</w:t>
            </w:r>
          </w:p>
        </w:tc>
      </w:tr>
      <w:tr>
        <w:tc>
          <w:tcPr>
            <w:tcW w:type="dxa" w:w="3216"/>
            <w:vAlign w:val="center"/>
          </w:tcPr>
          <w:p>
            <w:pPr>
              <w:spacing w:after="0"/>
            </w:pPr>
            <w:r/>
            <w:r>
              <w:rPr>
                <w:rFonts w:ascii="Calibri" w:hAnsi="Calibri"/>
                <w:b w:val="0"/>
                <w:sz w:val="16"/>
              </w:rPr>
              <w:t>FR-07–FR-12</w:t>
            </w:r>
          </w:p>
        </w:tc>
        <w:tc>
          <w:tcPr>
            <w:tcW w:type="dxa" w:w="3216"/>
            <w:vAlign w:val="center"/>
          </w:tcPr>
          <w:p>
            <w:pPr>
              <w:spacing w:after="0"/>
            </w:pPr>
            <w:r/>
            <w:r>
              <w:rPr>
                <w:rFonts w:ascii="Calibri" w:hAnsi="Calibri"/>
                <w:b w:val="0"/>
                <w:sz w:val="16"/>
              </w:rPr>
              <w:t>Catalogue Service</w:t>
            </w:r>
          </w:p>
        </w:tc>
        <w:tc>
          <w:tcPr>
            <w:tcW w:type="dxa" w:w="3216"/>
            <w:vAlign w:val="center"/>
          </w:tcPr>
          <w:p>
            <w:pPr>
              <w:spacing w:after="0"/>
            </w:pPr>
            <w:r/>
            <w:r>
              <w:rPr>
                <w:rFonts w:ascii="Calibri" w:hAnsi="Calibri"/>
                <w:b w:val="0"/>
                <w:sz w:val="16"/>
              </w:rPr>
              <w:t>Paging, search, filters, detail, reviews and related titles</w:t>
            </w:r>
          </w:p>
        </w:tc>
      </w:tr>
      <w:tr>
        <w:tc>
          <w:tcPr>
            <w:tcW w:type="dxa" w:w="3216"/>
            <w:vAlign w:val="center"/>
          </w:tcPr>
          <w:p>
            <w:pPr>
              <w:spacing w:after="0"/>
            </w:pPr>
            <w:r/>
            <w:r>
              <w:rPr>
                <w:rFonts w:ascii="Calibri" w:hAnsi="Calibri"/>
                <w:b w:val="0"/>
                <w:sz w:val="16"/>
              </w:rPr>
              <w:t>FR-13–FR-18</w:t>
            </w:r>
          </w:p>
        </w:tc>
        <w:tc>
          <w:tcPr>
            <w:tcW w:type="dxa" w:w="3216"/>
            <w:vAlign w:val="center"/>
          </w:tcPr>
          <w:p>
            <w:pPr>
              <w:spacing w:after="0"/>
            </w:pPr>
            <w:r/>
            <w:r>
              <w:rPr>
                <w:rFonts w:ascii="Calibri" w:hAnsi="Calibri"/>
                <w:b w:val="0"/>
                <w:sz w:val="16"/>
              </w:rPr>
              <w:t>Cart &amp; Order Service</w:t>
            </w:r>
          </w:p>
        </w:tc>
        <w:tc>
          <w:tcPr>
            <w:tcW w:type="dxa" w:w="3216"/>
            <w:vAlign w:val="center"/>
          </w:tcPr>
          <w:p>
            <w:pPr>
              <w:spacing w:after="0"/>
            </w:pPr>
            <w:r/>
            <w:r>
              <w:rPr>
                <w:rFonts w:ascii="Calibri" w:hAnsi="Calibri"/>
                <w:b w:val="0"/>
                <w:sz w:val="16"/>
              </w:rPr>
              <w:t>Cart, wishlist, checkout, payment, invoice and order lifecycle</w:t>
            </w:r>
          </w:p>
        </w:tc>
      </w:tr>
      <w:tr>
        <w:tc>
          <w:tcPr>
            <w:tcW w:type="dxa" w:w="3216"/>
            <w:vAlign w:val="center"/>
          </w:tcPr>
          <w:p>
            <w:pPr>
              <w:spacing w:after="0"/>
            </w:pPr>
            <w:r/>
            <w:r>
              <w:rPr>
                <w:rFonts w:ascii="Calibri" w:hAnsi="Calibri"/>
                <w:b w:val="0"/>
                <w:sz w:val="16"/>
              </w:rPr>
              <w:t>FR-19–FR-24</w:t>
            </w:r>
          </w:p>
        </w:tc>
        <w:tc>
          <w:tcPr>
            <w:tcW w:type="dxa" w:w="3216"/>
            <w:vAlign w:val="center"/>
          </w:tcPr>
          <w:p>
            <w:pPr>
              <w:spacing w:after="0"/>
            </w:pPr>
            <w:r/>
            <w:r>
              <w:rPr>
                <w:rFonts w:ascii="Calibri" w:hAnsi="Calibri"/>
                <w:b w:val="0"/>
                <w:sz w:val="16"/>
              </w:rPr>
              <w:t>Seller &amp; Admin Service</w:t>
            </w:r>
          </w:p>
        </w:tc>
        <w:tc>
          <w:tcPr>
            <w:tcW w:type="dxa" w:w="3216"/>
            <w:vAlign w:val="center"/>
          </w:tcPr>
          <w:p>
            <w:pPr>
              <w:spacing w:after="0"/>
            </w:pPr>
            <w:r/>
            <w:r>
              <w:rPr>
                <w:rFonts w:ascii="Calibri" w:hAnsi="Calibri"/>
                <w:b w:val="0"/>
                <w:sz w:val="16"/>
              </w:rPr>
              <w:t>Listings, inventory, fulfilment, settlement, moderation and analytics</w:t>
            </w:r>
          </w:p>
        </w:tc>
      </w:tr>
      <w:tr>
        <w:tc>
          <w:tcPr>
            <w:tcW w:type="dxa" w:w="3216"/>
            <w:vAlign w:val="center"/>
          </w:tcPr>
          <w:p>
            <w:pPr>
              <w:spacing w:after="0"/>
            </w:pPr>
            <w:r/>
            <w:r>
              <w:rPr>
                <w:rFonts w:ascii="Calibri" w:hAnsi="Calibri"/>
                <w:b w:val="0"/>
                <w:sz w:val="16"/>
              </w:rPr>
              <w:t>NFR-01</w:t>
            </w:r>
          </w:p>
        </w:tc>
        <w:tc>
          <w:tcPr>
            <w:tcW w:type="dxa" w:w="3216"/>
            <w:vAlign w:val="center"/>
          </w:tcPr>
          <w:p>
            <w:pPr>
              <w:spacing w:after="0"/>
            </w:pPr>
            <w:r/>
            <w:r>
              <w:rPr>
                <w:rFonts w:ascii="Calibri" w:hAnsi="Calibri"/>
                <w:b w:val="0"/>
                <w:sz w:val="16"/>
              </w:rPr>
              <w:t>Catalogue + Redis</w:t>
            </w:r>
          </w:p>
        </w:tc>
        <w:tc>
          <w:tcPr>
            <w:tcW w:type="dxa" w:w="3216"/>
            <w:vAlign w:val="center"/>
          </w:tcPr>
          <w:p>
            <w:pPr>
              <w:spacing w:after="0"/>
            </w:pPr>
            <w:r/>
            <w:r>
              <w:rPr>
                <w:rFonts w:ascii="Calibri" w:hAnsi="Calibri"/>
                <w:b w:val="0"/>
                <w:sz w:val="16"/>
              </w:rPr>
              <w:t>Indexed search and cache under reference load</w:t>
            </w:r>
          </w:p>
        </w:tc>
      </w:tr>
      <w:tr>
        <w:tc>
          <w:tcPr>
            <w:tcW w:type="dxa" w:w="3216"/>
            <w:vAlign w:val="center"/>
          </w:tcPr>
          <w:p>
            <w:pPr>
              <w:spacing w:after="0"/>
            </w:pPr>
            <w:r/>
            <w:r>
              <w:rPr>
                <w:rFonts w:ascii="Calibri" w:hAnsi="Calibri"/>
                <w:b w:val="0"/>
                <w:sz w:val="16"/>
              </w:rPr>
              <w:t>NFR-02</w:t>
            </w:r>
          </w:p>
        </w:tc>
        <w:tc>
          <w:tcPr>
            <w:tcW w:type="dxa" w:w="3216"/>
            <w:vAlign w:val="center"/>
          </w:tcPr>
          <w:p>
            <w:pPr>
              <w:spacing w:after="0"/>
            </w:pPr>
            <w:r/>
            <w:r>
              <w:rPr>
                <w:rFonts w:ascii="Calibri" w:hAnsi="Calibri"/>
                <w:b w:val="0"/>
                <w:sz w:val="16"/>
              </w:rPr>
              <w:t>Deployment + monitoring</w:t>
            </w:r>
          </w:p>
        </w:tc>
        <w:tc>
          <w:tcPr>
            <w:tcW w:type="dxa" w:w="3216"/>
            <w:vAlign w:val="center"/>
          </w:tcPr>
          <w:p>
            <w:pPr>
              <w:spacing w:after="0"/>
            </w:pPr>
            <w:r/>
            <w:r>
              <w:rPr>
                <w:rFonts w:ascii="Calibri" w:hAnsi="Calibri"/>
                <w:b w:val="0"/>
                <w:sz w:val="16"/>
              </w:rPr>
              <w:t>Health endpoint and uptime monitoring</w:t>
            </w:r>
          </w:p>
        </w:tc>
      </w:tr>
      <w:tr>
        <w:tc>
          <w:tcPr>
            <w:tcW w:type="dxa" w:w="3216"/>
            <w:vAlign w:val="center"/>
          </w:tcPr>
          <w:p>
            <w:pPr>
              <w:spacing w:after="0"/>
            </w:pPr>
            <w:r/>
            <w:r>
              <w:rPr>
                <w:rFonts w:ascii="Calibri" w:hAnsi="Calibri"/>
                <w:b w:val="0"/>
                <w:sz w:val="16"/>
              </w:rPr>
              <w:t>NFR-03</w:t>
            </w:r>
          </w:p>
        </w:tc>
        <w:tc>
          <w:tcPr>
            <w:tcW w:type="dxa" w:w="3216"/>
            <w:vAlign w:val="center"/>
          </w:tcPr>
          <w:p>
            <w:pPr>
              <w:spacing w:after="0"/>
            </w:pPr>
            <w:r/>
            <w:r>
              <w:rPr>
                <w:rFonts w:ascii="Calibri" w:hAnsi="Calibri"/>
                <w:b w:val="0"/>
                <w:sz w:val="16"/>
              </w:rPr>
              <w:t>Auth + API + payment integration</w:t>
            </w:r>
          </w:p>
        </w:tc>
        <w:tc>
          <w:tcPr>
            <w:tcW w:type="dxa" w:w="3216"/>
            <w:vAlign w:val="center"/>
          </w:tcPr>
          <w:p>
            <w:pPr>
              <w:spacing w:after="0"/>
            </w:pPr>
            <w:r/>
            <w:r>
              <w:rPr>
                <w:rFonts w:ascii="Calibri" w:hAnsi="Calibri"/>
                <w:b w:val="0"/>
                <w:sz w:val="16"/>
              </w:rPr>
              <w:t>TLS, bcrypt, token expiry and payment isolation</w:t>
            </w:r>
          </w:p>
        </w:tc>
      </w:tr>
      <w:tr>
        <w:tc>
          <w:tcPr>
            <w:tcW w:type="dxa" w:w="3216"/>
            <w:vAlign w:val="center"/>
          </w:tcPr>
          <w:p>
            <w:pPr>
              <w:spacing w:after="0"/>
            </w:pPr>
            <w:r/>
            <w:r>
              <w:rPr>
                <w:rFonts w:ascii="Calibri" w:hAnsi="Calibri"/>
                <w:b w:val="0"/>
                <w:sz w:val="16"/>
              </w:rPr>
              <w:t>NFR-04</w:t>
            </w:r>
          </w:p>
        </w:tc>
        <w:tc>
          <w:tcPr>
            <w:tcW w:type="dxa" w:w="3216"/>
            <w:vAlign w:val="center"/>
          </w:tcPr>
          <w:p>
            <w:pPr>
              <w:spacing w:after="0"/>
            </w:pPr>
            <w:r/>
            <w:r>
              <w:rPr>
                <w:rFonts w:ascii="Calibri" w:hAnsi="Calibri"/>
                <w:b w:val="0"/>
                <w:sz w:val="16"/>
              </w:rPr>
              <w:t>React Presentation Tier</w:t>
            </w:r>
          </w:p>
        </w:tc>
        <w:tc>
          <w:tcPr>
            <w:tcW w:type="dxa" w:w="3216"/>
            <w:vAlign w:val="center"/>
          </w:tcPr>
          <w:p>
            <w:pPr>
              <w:spacing w:after="0"/>
            </w:pPr>
            <w:r/>
            <w:r>
              <w:rPr>
                <w:rFonts w:ascii="Calibri" w:hAnsi="Calibri"/>
                <w:b w:val="0"/>
                <w:sz w:val="16"/>
              </w:rPr>
              <w:t>Four-screen checkout, 360px usability and WCAG AA</w:t>
            </w:r>
          </w:p>
        </w:tc>
      </w:tr>
      <w:tr>
        <w:tc>
          <w:tcPr>
            <w:tcW w:type="dxa" w:w="3216"/>
            <w:vAlign w:val="center"/>
          </w:tcPr>
          <w:p>
            <w:pPr>
              <w:spacing w:after="0"/>
            </w:pPr>
            <w:r/>
            <w:r>
              <w:rPr>
                <w:rFonts w:ascii="Calibri" w:hAnsi="Calibri"/>
                <w:b w:val="0"/>
                <w:sz w:val="16"/>
              </w:rPr>
              <w:t>NFR-05</w:t>
            </w:r>
          </w:p>
        </w:tc>
        <w:tc>
          <w:tcPr>
            <w:tcW w:type="dxa" w:w="3216"/>
            <w:vAlign w:val="center"/>
          </w:tcPr>
          <w:p>
            <w:pPr>
              <w:spacing w:after="0"/>
            </w:pPr>
            <w:r/>
            <w:r>
              <w:rPr>
                <w:rFonts w:ascii="Calibri" w:hAnsi="Calibri"/>
                <w:b w:val="0"/>
                <w:sz w:val="16"/>
              </w:rPr>
              <w:t>Cart &amp; Order Service + MongoDB</w:t>
            </w:r>
          </w:p>
        </w:tc>
        <w:tc>
          <w:tcPr>
            <w:tcW w:type="dxa" w:w="3216"/>
            <w:vAlign w:val="center"/>
          </w:tcPr>
          <w:p>
            <w:pPr>
              <w:spacing w:after="0"/>
            </w:pPr>
            <w:r/>
            <w:r>
              <w:rPr>
                <w:rFonts w:ascii="Calibri" w:hAnsi="Calibri"/>
                <w:b w:val="0"/>
                <w:sz w:val="16"/>
              </w:rPr>
              <w:t>Atomic stock decrement</w:t>
            </w:r>
          </w:p>
        </w:tc>
      </w:tr>
      <w:tr>
        <w:tc>
          <w:tcPr>
            <w:tcW w:type="dxa" w:w="3216"/>
            <w:vAlign w:val="center"/>
          </w:tcPr>
          <w:p>
            <w:pPr>
              <w:spacing w:after="0"/>
            </w:pPr>
            <w:r/>
            <w:r>
              <w:rPr>
                <w:rFonts w:ascii="Calibri" w:hAnsi="Calibri"/>
                <w:b w:val="0"/>
                <w:sz w:val="16"/>
              </w:rPr>
              <w:t>NFR-06</w:t>
            </w:r>
          </w:p>
        </w:tc>
        <w:tc>
          <w:tcPr>
            <w:tcW w:type="dxa" w:w="3216"/>
            <w:vAlign w:val="center"/>
          </w:tcPr>
          <w:p>
            <w:pPr>
              <w:spacing w:after="0"/>
            </w:pPr>
            <w:r/>
            <w:r>
              <w:rPr>
                <w:rFonts w:ascii="Calibri" w:hAnsi="Calibri"/>
                <w:b w:val="0"/>
                <w:sz w:val="16"/>
              </w:rPr>
              <w:t>All service modules + CI</w:t>
            </w:r>
          </w:p>
        </w:tc>
        <w:tc>
          <w:tcPr>
            <w:tcW w:type="dxa" w:w="3216"/>
            <w:vAlign w:val="center"/>
          </w:tcPr>
          <w:p>
            <w:pPr>
              <w:spacing w:after="0"/>
            </w:pPr>
            <w:r/>
            <w:r>
              <w:rPr>
                <w:rFonts w:ascii="Calibri" w:hAnsi="Calibri"/>
                <w:b w:val="0"/>
                <w:sz w:val="16"/>
              </w:rPr>
              <w:t>ESLint and unit-test coverage gate</w:t>
            </w:r>
          </w:p>
        </w:tc>
      </w:tr>
      <w:tr>
        <w:tc>
          <w:tcPr>
            <w:tcW w:type="dxa" w:w="3216"/>
            <w:vAlign w:val="center"/>
          </w:tcPr>
          <w:p>
            <w:pPr>
              <w:spacing w:after="0"/>
            </w:pPr>
            <w:r/>
            <w:r>
              <w:rPr>
                <w:rFonts w:ascii="Calibri" w:hAnsi="Calibri"/>
                <w:b w:val="0"/>
                <w:sz w:val="16"/>
              </w:rPr>
              <w:t>NFR-07</w:t>
            </w:r>
          </w:p>
        </w:tc>
        <w:tc>
          <w:tcPr>
            <w:tcW w:type="dxa" w:w="3216"/>
            <w:vAlign w:val="center"/>
          </w:tcPr>
          <w:p>
            <w:pPr>
              <w:spacing w:after="0"/>
            </w:pPr>
            <w:r/>
            <w:r>
              <w:rPr>
                <w:rFonts w:ascii="Calibri" w:hAnsi="Calibri"/>
                <w:b w:val="0"/>
                <w:sz w:val="16"/>
              </w:rPr>
              <w:t>React Presentation Tier</w:t>
            </w:r>
          </w:p>
        </w:tc>
        <w:tc>
          <w:tcPr>
            <w:tcW w:type="dxa" w:w="3216"/>
            <w:vAlign w:val="center"/>
          </w:tcPr>
          <w:p>
            <w:pPr>
              <w:spacing w:after="0"/>
            </w:pPr>
            <w:r/>
            <w:r>
              <w:rPr>
                <w:rFonts w:ascii="Calibri" w:hAnsi="Calibri"/>
                <w:b w:val="0"/>
                <w:sz w:val="16"/>
              </w:rPr>
              <w:t>Cross-browser compatibility</w:t>
            </w:r>
          </w:p>
        </w:tc>
      </w:tr>
      <w:tr>
        <w:tc>
          <w:tcPr>
            <w:tcW w:type="dxa" w:w="3216"/>
            <w:vAlign w:val="center"/>
          </w:tcPr>
          <w:p>
            <w:pPr>
              <w:spacing w:after="0"/>
            </w:pPr>
            <w:r/>
            <w:r>
              <w:rPr>
                <w:rFonts w:ascii="Calibri" w:hAnsi="Calibri"/>
                <w:b w:val="0"/>
                <w:sz w:val="16"/>
              </w:rPr>
              <w:t>NFR-08</w:t>
            </w:r>
          </w:p>
        </w:tc>
        <w:tc>
          <w:tcPr>
            <w:tcW w:type="dxa" w:w="3216"/>
            <w:vAlign w:val="center"/>
          </w:tcPr>
          <w:p>
            <w:pPr>
              <w:spacing w:after="0"/>
            </w:pPr>
            <w:r/>
            <w:r>
              <w:rPr>
                <w:rFonts w:ascii="Calibri" w:hAnsi="Calibri"/>
                <w:b w:val="0"/>
                <w:sz w:val="16"/>
              </w:rPr>
              <w:t>Auth/Order/Seller/Admin + Audit Log</w:t>
            </w:r>
          </w:p>
        </w:tc>
        <w:tc>
          <w:tcPr>
            <w:tcW w:type="dxa" w:w="3216"/>
            <w:vAlign w:val="center"/>
          </w:tcPr>
          <w:p>
            <w:pPr>
              <w:spacing w:after="0"/>
            </w:pPr>
            <w:r/>
            <w:r>
              <w:rPr>
                <w:rFonts w:ascii="Calibri" w:hAnsi="Calibri"/>
                <w:b w:val="0"/>
                <w:sz w:val="16"/>
              </w:rPr>
              <w:t>Append-only administrative/payment audit events</w:t>
            </w:r>
          </w:p>
        </w:tc>
      </w:tr>
    </w:tbl>
    <w:p>
      <w:pPr>
        <w:spacing w:after="0"/>
      </w:pPr>
    </w:p>
    <w:p>
      <w:pPr>
        <w:pStyle w:val="Heading2"/>
        <w:spacing w:before="100" w:after="80"/>
      </w:pPr>
      <w:r>
        <w:t>3.9 Security Architecture</w:t>
      </w:r>
    </w:p>
    <w:p>
      <w:pPr>
        <w:spacing w:after="100" w:line="259" w:lineRule="auto"/>
      </w:pPr>
      <w:r>
        <w:t>Security controls are layered across the client, service tier, data tier and external integrations. The payment gateway remains outside the application boundary so that card data does not enter or get stored by the bookstore.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Threat / Concern</w:t>
            </w:r>
          </w:p>
        </w:tc>
        <w:tc>
          <w:tcPr>
            <w:tcW w:type="dxa" w:w="3216"/>
            <w:vAlign w:val="center"/>
            <w:shd w:fill="D9EAF7"/>
          </w:tcPr>
          <w:p>
            <w:pPr>
              <w:spacing w:after="0"/>
            </w:pPr>
            <w:r/>
            <w:r>
              <w:rPr>
                <w:rFonts w:ascii="Calibri" w:hAnsi="Calibri"/>
                <w:b/>
                <w:sz w:val="16"/>
              </w:rPr>
              <w:t>Control</w:t>
            </w:r>
          </w:p>
        </w:tc>
        <w:tc>
          <w:tcPr>
            <w:tcW w:type="dxa" w:w="3216"/>
            <w:vAlign w:val="center"/>
            <w:shd w:fill="D9EAF7"/>
          </w:tcPr>
          <w:p>
            <w:pPr>
              <w:spacing w:after="0"/>
            </w:pPr>
            <w:r/>
            <w:r>
              <w:rPr>
                <w:rFonts w:ascii="Calibri" w:hAnsi="Calibri"/>
                <w:b/>
                <w:sz w:val="16"/>
              </w:rPr>
              <w:t>Design location</w:t>
            </w:r>
          </w:p>
        </w:tc>
      </w:tr>
      <w:tr>
        <w:tc>
          <w:tcPr>
            <w:tcW w:type="dxa" w:w="3216"/>
            <w:vAlign w:val="center"/>
          </w:tcPr>
          <w:p>
            <w:pPr>
              <w:spacing w:after="0"/>
            </w:pPr>
            <w:r/>
            <w:r>
              <w:rPr>
                <w:rFonts w:ascii="Calibri" w:hAnsi="Calibri"/>
                <w:b w:val="0"/>
                <w:sz w:val="16"/>
              </w:rPr>
              <w:t>Spoofing / credential theft</w:t>
            </w:r>
          </w:p>
        </w:tc>
        <w:tc>
          <w:tcPr>
            <w:tcW w:type="dxa" w:w="3216"/>
            <w:vAlign w:val="center"/>
          </w:tcPr>
          <w:p>
            <w:pPr>
              <w:spacing w:after="0"/>
            </w:pPr>
            <w:r/>
            <w:r>
              <w:rPr>
                <w:rFonts w:ascii="Calibri" w:hAnsi="Calibri"/>
                <w:b w:val="0"/>
                <w:sz w:val="16"/>
              </w:rPr>
              <w:t>bcrypt cost 12, e-mail OTP verification, short-lived access tokens and refresh-token rotation.</w:t>
            </w:r>
          </w:p>
        </w:tc>
        <w:tc>
          <w:tcPr>
            <w:tcW w:type="dxa" w:w="3216"/>
            <w:vAlign w:val="center"/>
          </w:tcPr>
          <w:p>
            <w:pPr>
              <w:spacing w:after="0"/>
            </w:pPr>
            <w:r/>
            <w:r>
              <w:rPr>
                <w:rFonts w:ascii="Calibri" w:hAnsi="Calibri"/>
                <w:b w:val="0"/>
                <w:sz w:val="16"/>
              </w:rPr>
              <w:t>Auth &amp; User Service</w:t>
            </w:r>
          </w:p>
        </w:tc>
      </w:tr>
      <w:tr>
        <w:tc>
          <w:tcPr>
            <w:tcW w:type="dxa" w:w="3216"/>
            <w:vAlign w:val="center"/>
          </w:tcPr>
          <w:p>
            <w:pPr>
              <w:spacing w:after="0"/>
            </w:pPr>
            <w:r/>
            <w:r>
              <w:rPr>
                <w:rFonts w:ascii="Calibri" w:hAnsi="Calibri"/>
                <w:b w:val="0"/>
                <w:sz w:val="16"/>
              </w:rPr>
              <w:t>Broken authorization / privilege escalation</w:t>
            </w:r>
          </w:p>
        </w:tc>
        <w:tc>
          <w:tcPr>
            <w:tcW w:type="dxa" w:w="3216"/>
            <w:vAlign w:val="center"/>
          </w:tcPr>
          <w:p>
            <w:pPr>
              <w:spacing w:after="0"/>
            </w:pPr>
            <w:r/>
            <w:r>
              <w:rPr>
                <w:rFonts w:ascii="Calibri" w:hAnsi="Calibri"/>
                <w:b w:val="0"/>
                <w:sz w:val="16"/>
              </w:rPr>
              <w:t>Server-side RBAC on every protected route and object-level ownership checks.</w:t>
            </w:r>
          </w:p>
        </w:tc>
        <w:tc>
          <w:tcPr>
            <w:tcW w:type="dxa" w:w="3216"/>
            <w:vAlign w:val="center"/>
          </w:tcPr>
          <w:p>
            <w:pPr>
              <w:spacing w:after="0"/>
            </w:pPr>
            <w:r/>
            <w:r>
              <w:rPr>
                <w:rFonts w:ascii="Calibri" w:hAnsi="Calibri"/>
                <w:b w:val="0"/>
                <w:sz w:val="16"/>
              </w:rPr>
              <w:t>Express middleware / services</w:t>
            </w:r>
          </w:p>
        </w:tc>
      </w:tr>
      <w:tr>
        <w:tc>
          <w:tcPr>
            <w:tcW w:type="dxa" w:w="3216"/>
            <w:vAlign w:val="center"/>
          </w:tcPr>
          <w:p>
            <w:pPr>
              <w:spacing w:after="0"/>
            </w:pPr>
            <w:r/>
            <w:r>
              <w:rPr>
                <w:rFonts w:ascii="Calibri" w:hAnsi="Calibri"/>
                <w:b w:val="0"/>
                <w:sz w:val="16"/>
              </w:rPr>
              <w:t>Tampering</w:t>
            </w:r>
          </w:p>
        </w:tc>
        <w:tc>
          <w:tcPr>
            <w:tcW w:type="dxa" w:w="3216"/>
            <w:vAlign w:val="center"/>
          </w:tcPr>
          <w:p>
            <w:pPr>
              <w:spacing w:after="0"/>
            </w:pPr>
            <w:r/>
            <w:r>
              <w:rPr>
                <w:rFonts w:ascii="Calibri" w:hAnsi="Calibri"/>
                <w:b w:val="0"/>
                <w:sz w:val="16"/>
              </w:rPr>
              <w:t>HTTPS/TLS, server-side validation/sanitisation, signed payment webhook verification and idempotent callback handling.</w:t>
            </w:r>
          </w:p>
        </w:tc>
        <w:tc>
          <w:tcPr>
            <w:tcW w:type="dxa" w:w="3216"/>
            <w:vAlign w:val="center"/>
          </w:tcPr>
          <w:p>
            <w:pPr>
              <w:spacing w:after="0"/>
            </w:pPr>
            <w:r/>
            <w:r>
              <w:rPr>
                <w:rFonts w:ascii="Calibri" w:hAnsi="Calibri"/>
                <w:b w:val="0"/>
                <w:sz w:val="16"/>
              </w:rPr>
              <w:t>API/service layer</w:t>
            </w:r>
          </w:p>
        </w:tc>
      </w:tr>
      <w:tr>
        <w:tc>
          <w:tcPr>
            <w:tcW w:type="dxa" w:w="3216"/>
            <w:vAlign w:val="center"/>
          </w:tcPr>
          <w:p>
            <w:pPr>
              <w:spacing w:after="0"/>
            </w:pPr>
            <w:r/>
            <w:r>
              <w:rPr>
                <w:rFonts w:ascii="Calibri" w:hAnsi="Calibri"/>
                <w:b w:val="0"/>
                <w:sz w:val="16"/>
              </w:rPr>
              <w:t>Information disclosure</w:t>
            </w:r>
          </w:p>
        </w:tc>
        <w:tc>
          <w:tcPr>
            <w:tcW w:type="dxa" w:w="3216"/>
            <w:vAlign w:val="center"/>
          </w:tcPr>
          <w:p>
            <w:pPr>
              <w:spacing w:after="0"/>
            </w:pPr>
            <w:r/>
            <w:r>
              <w:rPr>
                <w:rFonts w:ascii="Calibri" w:hAnsi="Calibri"/>
                <w:b w:val="0"/>
                <w:sz w:val="16"/>
              </w:rPr>
              <w:t>No card data stored; sensitive fields excluded from logs; HTTPS; controlled object ownership.</w:t>
            </w:r>
          </w:p>
        </w:tc>
        <w:tc>
          <w:tcPr>
            <w:tcW w:type="dxa" w:w="3216"/>
            <w:vAlign w:val="center"/>
          </w:tcPr>
          <w:p>
            <w:pPr>
              <w:spacing w:after="0"/>
            </w:pPr>
            <w:r/>
            <w:r>
              <w:rPr>
                <w:rFonts w:ascii="Calibri" w:hAnsi="Calibri"/>
                <w:b w:val="0"/>
                <w:sz w:val="16"/>
              </w:rPr>
              <w:t>API, payment integration, data access</w:t>
            </w:r>
          </w:p>
        </w:tc>
      </w:tr>
      <w:tr>
        <w:tc>
          <w:tcPr>
            <w:tcW w:type="dxa" w:w="3216"/>
            <w:vAlign w:val="center"/>
          </w:tcPr>
          <w:p>
            <w:pPr>
              <w:spacing w:after="0"/>
            </w:pPr>
            <w:r/>
            <w:r>
              <w:rPr>
                <w:rFonts w:ascii="Calibri" w:hAnsi="Calibri"/>
                <w:b w:val="0"/>
                <w:sz w:val="16"/>
              </w:rPr>
              <w:t>Injection / XSS</w:t>
            </w:r>
          </w:p>
        </w:tc>
        <w:tc>
          <w:tcPr>
            <w:tcW w:type="dxa" w:w="3216"/>
            <w:vAlign w:val="center"/>
          </w:tcPr>
          <w:p>
            <w:pPr>
              <w:spacing w:after="0"/>
            </w:pPr>
            <w:r/>
            <w:r>
              <w:rPr>
                <w:rFonts w:ascii="Calibri" w:hAnsi="Calibri"/>
                <w:b w:val="0"/>
                <w:sz w:val="16"/>
              </w:rPr>
              <w:t>Server-side validation and sanitisation; OWASP Top 10 review.</w:t>
            </w:r>
          </w:p>
        </w:tc>
        <w:tc>
          <w:tcPr>
            <w:tcW w:type="dxa" w:w="3216"/>
            <w:vAlign w:val="center"/>
          </w:tcPr>
          <w:p>
            <w:pPr>
              <w:spacing w:after="0"/>
            </w:pPr>
            <w:r/>
            <w:r>
              <w:rPr>
                <w:rFonts w:ascii="Calibri" w:hAnsi="Calibri"/>
                <w:b w:val="0"/>
                <w:sz w:val="16"/>
              </w:rPr>
              <w:t>All API inputs</w:t>
            </w:r>
          </w:p>
        </w:tc>
      </w:tr>
      <w:tr>
        <w:tc>
          <w:tcPr>
            <w:tcW w:type="dxa" w:w="3216"/>
            <w:vAlign w:val="center"/>
          </w:tcPr>
          <w:p>
            <w:pPr>
              <w:spacing w:after="0"/>
            </w:pPr>
            <w:r/>
            <w:r>
              <w:rPr>
                <w:rFonts w:ascii="Calibri" w:hAnsi="Calibri"/>
                <w:b w:val="0"/>
                <w:sz w:val="16"/>
              </w:rPr>
              <w:t>Denial of Service / abuse</w:t>
            </w:r>
          </w:p>
        </w:tc>
        <w:tc>
          <w:tcPr>
            <w:tcW w:type="dxa" w:w="3216"/>
            <w:vAlign w:val="center"/>
          </w:tcPr>
          <w:p>
            <w:pPr>
              <w:spacing w:after="0"/>
            </w:pPr>
            <w:r/>
            <w:r>
              <w:rPr>
                <w:rFonts w:ascii="Calibri" w:hAnsi="Calibri"/>
                <w:b w:val="0"/>
                <w:sz w:val="16"/>
              </w:rPr>
              <w:t>Failed-login rate limiting and OTP request cap; health monitoring.</w:t>
            </w:r>
          </w:p>
        </w:tc>
        <w:tc>
          <w:tcPr>
            <w:tcW w:type="dxa" w:w="3216"/>
            <w:vAlign w:val="center"/>
          </w:tcPr>
          <w:p>
            <w:pPr>
              <w:spacing w:after="0"/>
            </w:pPr>
            <w:r/>
            <w:r>
              <w:rPr>
                <w:rFonts w:ascii="Calibri" w:hAnsi="Calibri"/>
                <w:b w:val="0"/>
                <w:sz w:val="16"/>
              </w:rPr>
              <w:t>Auth service / deployment</w:t>
            </w:r>
          </w:p>
        </w:tc>
      </w:tr>
      <w:tr>
        <w:tc>
          <w:tcPr>
            <w:tcW w:type="dxa" w:w="3216"/>
            <w:vAlign w:val="center"/>
          </w:tcPr>
          <w:p>
            <w:pPr>
              <w:spacing w:after="0"/>
            </w:pPr>
            <w:r/>
            <w:r>
              <w:rPr>
                <w:rFonts w:ascii="Calibri" w:hAnsi="Calibri"/>
                <w:b w:val="0"/>
                <w:sz w:val="16"/>
              </w:rPr>
              <w:t>Repudiation</w:t>
            </w:r>
          </w:p>
        </w:tc>
        <w:tc>
          <w:tcPr>
            <w:tcW w:type="dxa" w:w="3216"/>
            <w:vAlign w:val="center"/>
          </w:tcPr>
          <w:p>
            <w:pPr>
              <w:spacing w:after="0"/>
            </w:pPr>
            <w:r/>
            <w:r>
              <w:rPr>
                <w:rFonts w:ascii="Calibri" w:hAnsi="Calibri"/>
                <w:b w:val="0"/>
                <w:sz w:val="16"/>
              </w:rPr>
              <w:t>Append-only audit log for every administrative action and payment event.</w:t>
            </w:r>
          </w:p>
        </w:tc>
        <w:tc>
          <w:tcPr>
            <w:tcW w:type="dxa" w:w="3216"/>
            <w:vAlign w:val="center"/>
          </w:tcPr>
          <w:p>
            <w:pPr>
              <w:spacing w:after="0"/>
            </w:pPr>
            <w:r/>
            <w:r>
              <w:rPr>
                <w:rFonts w:ascii="Calibri" w:hAnsi="Calibri"/>
                <w:b w:val="0"/>
                <w:sz w:val="16"/>
              </w:rPr>
              <w:t>Audit logging</w:t>
            </w:r>
          </w:p>
        </w:tc>
      </w:tr>
      <w:tr>
        <w:tc>
          <w:tcPr>
            <w:tcW w:type="dxa" w:w="3216"/>
            <w:vAlign w:val="center"/>
          </w:tcPr>
          <w:p>
            <w:pPr>
              <w:spacing w:after="0"/>
            </w:pPr>
            <w:r/>
            <w:r>
              <w:rPr>
                <w:rFonts w:ascii="Calibri" w:hAnsi="Calibri"/>
                <w:b w:val="0"/>
                <w:sz w:val="16"/>
              </w:rPr>
              <w:t>Data loss</w:t>
            </w:r>
          </w:p>
        </w:tc>
        <w:tc>
          <w:tcPr>
            <w:tcW w:type="dxa" w:w="3216"/>
            <w:vAlign w:val="center"/>
          </w:tcPr>
          <w:p>
            <w:pPr>
              <w:spacing w:after="0"/>
            </w:pPr>
            <w:r/>
            <w:r>
              <w:rPr>
                <w:rFonts w:ascii="Calibri" w:hAnsi="Calibri"/>
                <w:b w:val="0"/>
                <w:sz w:val="16"/>
              </w:rPr>
              <w:t>Daily automated backups retained for seven days and restore rehearsal.</w:t>
            </w:r>
          </w:p>
        </w:tc>
        <w:tc>
          <w:tcPr>
            <w:tcW w:type="dxa" w:w="3216"/>
            <w:vAlign w:val="center"/>
          </w:tcPr>
          <w:p>
            <w:pPr>
              <w:spacing w:after="0"/>
            </w:pPr>
            <w:r/>
            <w:r>
              <w:rPr>
                <w:rFonts w:ascii="Calibri" w:hAnsi="Calibri"/>
                <w:b w:val="0"/>
                <w:sz w:val="16"/>
              </w:rPr>
              <w:t>MongoDB Atlas / operations</w:t>
            </w:r>
          </w:p>
        </w:tc>
      </w:tr>
    </w:tbl>
    <w:p>
      <w:pPr>
        <w:spacing w:after="0"/>
      </w:pPr>
    </w:p>
    <w:p>
      <w:r>
        <w:br w:type="page"/>
      </w:r>
    </w:p>
    <w:p>
      <w:pPr>
        <w:pStyle w:val="Heading1"/>
        <w:spacing w:before="160" w:after="80"/>
      </w:pPr>
      <w:r>
        <w:t>4. Design</w:t>
      </w:r>
    </w:p>
    <w:p>
      <w:pPr>
        <w:pStyle w:val="Heading2"/>
        <w:spacing w:before="100" w:after="80"/>
      </w:pPr>
      <w:r>
        <w:t>4.1 Design Overview</w:t>
      </w:r>
    </w:p>
    <w:p>
      <w:pPr>
        <w:spacing w:after="100" w:line="259" w:lineRule="auto"/>
      </w:pPr>
      <w:r>
        <w:t>The detailed design follows the architectural boundaries in Section 3. Each service exposes focused operations through the Express REST layer. Persistent data is stored in the eleven collections defined by the SRS. Service-layer validation is used for relationships because MongoDB does not enforce relational foreign keys. Order lines store the unit price at purchase time so later seller price changes cannot modify historical order values.</w:t>
      </w:r>
    </w:p>
    <w:p>
      <w:pPr>
        <w:pStyle w:val="Heading3"/>
        <w:spacing w:before="100" w:after="80"/>
      </w:pPr>
      <w:r>
        <w:t>4.1.1 Key Data and Service Responsibilities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6"/>
              </w:rPr>
              <w:t>Design area</w:t>
            </w:r>
          </w:p>
        </w:tc>
        <w:tc>
          <w:tcPr>
            <w:tcW w:type="dxa" w:w="4824"/>
            <w:vAlign w:val="center"/>
            <w:shd w:fill="D9EAF7"/>
          </w:tcPr>
          <w:p>
            <w:pPr>
              <w:spacing w:after="0"/>
            </w:pPr>
            <w:r/>
            <w:r>
              <w:rPr>
                <w:rFonts w:ascii="Calibri" w:hAnsi="Calibri"/>
                <w:b/>
                <w:sz w:val="16"/>
              </w:rPr>
              <w:t>Decision</w:t>
            </w:r>
          </w:p>
        </w:tc>
      </w:tr>
      <w:tr>
        <w:tc>
          <w:tcPr>
            <w:tcW w:type="dxa" w:w="4824"/>
            <w:vAlign w:val="center"/>
          </w:tcPr>
          <w:p>
            <w:pPr>
              <w:spacing w:after="0"/>
            </w:pPr>
            <w:r/>
            <w:r>
              <w:rPr>
                <w:rFonts w:ascii="Calibri" w:hAnsi="Calibri"/>
                <w:b w:val="0"/>
                <w:sz w:val="16"/>
              </w:rPr>
              <w:t>Identity</w:t>
            </w:r>
          </w:p>
        </w:tc>
        <w:tc>
          <w:tcPr>
            <w:tcW w:type="dxa" w:w="4824"/>
            <w:vAlign w:val="center"/>
          </w:tcPr>
          <w:p>
            <w:pPr>
              <w:spacing w:after="0"/>
            </w:pPr>
            <w:r/>
            <w:r>
              <w:rPr>
                <w:rFonts w:ascii="Calibri" w:hAnsi="Calibri"/>
                <w:b w:val="0"/>
                <w:sz w:val="16"/>
              </w:rPr>
              <w:t>USER is a single collection with a role attribute; a person may be both buyer and seller, while administrator is separate.</w:t>
            </w:r>
          </w:p>
        </w:tc>
      </w:tr>
      <w:tr>
        <w:tc>
          <w:tcPr>
            <w:tcW w:type="dxa" w:w="4824"/>
            <w:vAlign w:val="center"/>
          </w:tcPr>
          <w:p>
            <w:pPr>
              <w:spacing w:after="0"/>
            </w:pPr>
            <w:r/>
            <w:r>
              <w:rPr>
                <w:rFonts w:ascii="Calibri" w:hAnsi="Calibri"/>
                <w:b w:val="0"/>
                <w:sz w:val="16"/>
              </w:rPr>
              <w:t>Catalogue</w:t>
            </w:r>
          </w:p>
        </w:tc>
        <w:tc>
          <w:tcPr>
            <w:tcW w:type="dxa" w:w="4824"/>
            <w:vAlign w:val="center"/>
          </w:tcPr>
          <w:p>
            <w:pPr>
              <w:spacing w:after="0"/>
            </w:pPr>
            <w:r/>
            <w:r>
              <w:rPr>
                <w:rFonts w:ascii="Calibri" w:hAnsi="Calibri"/>
                <w:b w:val="0"/>
                <w:sz w:val="16"/>
              </w:rPr>
              <w:t>BOOK identifies a title by ISBN-13; LISTING connects a title to a seller and carries condition, price and stock.</w:t>
            </w:r>
          </w:p>
        </w:tc>
      </w:tr>
      <w:tr>
        <w:tc>
          <w:tcPr>
            <w:tcW w:type="dxa" w:w="4824"/>
            <w:vAlign w:val="center"/>
          </w:tcPr>
          <w:p>
            <w:pPr>
              <w:spacing w:after="0"/>
            </w:pPr>
            <w:r/>
            <w:r>
              <w:rPr>
                <w:rFonts w:ascii="Calibri" w:hAnsi="Calibri"/>
                <w:b w:val="0"/>
                <w:sz w:val="16"/>
              </w:rPr>
              <w:t>Orders</w:t>
            </w:r>
          </w:p>
        </w:tc>
        <w:tc>
          <w:tcPr>
            <w:tcW w:type="dxa" w:w="4824"/>
            <w:vAlign w:val="center"/>
          </w:tcPr>
          <w:p>
            <w:pPr>
              <w:spacing w:after="0"/>
            </w:pPr>
            <w:r/>
            <w:r>
              <w:rPr>
                <w:rFonts w:ascii="Calibri" w:hAnsi="Calibri"/>
                <w:b w:val="0"/>
                <w:sz w:val="16"/>
              </w:rPr>
              <w:t>ORDER stores lifecycle state; ORDER_ITEM freezes unit price at purchase time and references the listing.</w:t>
            </w:r>
          </w:p>
        </w:tc>
      </w:tr>
      <w:tr>
        <w:tc>
          <w:tcPr>
            <w:tcW w:type="dxa" w:w="4824"/>
            <w:vAlign w:val="center"/>
          </w:tcPr>
          <w:p>
            <w:pPr>
              <w:spacing w:after="0"/>
            </w:pPr>
            <w:r/>
            <w:r>
              <w:rPr>
                <w:rFonts w:ascii="Calibri" w:hAnsi="Calibri"/>
                <w:b w:val="0"/>
                <w:sz w:val="16"/>
              </w:rPr>
              <w:t>Payment</w:t>
            </w:r>
          </w:p>
        </w:tc>
        <w:tc>
          <w:tcPr>
            <w:tcW w:type="dxa" w:w="4824"/>
            <w:vAlign w:val="center"/>
          </w:tcPr>
          <w:p>
            <w:pPr>
              <w:spacing w:after="0"/>
            </w:pPr>
            <w:r/>
            <w:r>
              <w:rPr>
                <w:rFonts w:ascii="Calibri" w:hAnsi="Calibri"/>
                <w:b w:val="0"/>
                <w:sz w:val="16"/>
              </w:rPr>
              <w:t>PAYMENT records attempts against an order; card details remain exclusively with the payment gateway.</w:t>
            </w:r>
          </w:p>
        </w:tc>
      </w:tr>
      <w:tr>
        <w:tc>
          <w:tcPr>
            <w:tcW w:type="dxa" w:w="4824"/>
            <w:vAlign w:val="center"/>
          </w:tcPr>
          <w:p>
            <w:pPr>
              <w:spacing w:after="0"/>
            </w:pPr>
            <w:r/>
            <w:r>
              <w:rPr>
                <w:rFonts w:ascii="Calibri" w:hAnsi="Calibri"/>
                <w:b w:val="0"/>
                <w:sz w:val="16"/>
              </w:rPr>
              <w:t>Notification</w:t>
            </w:r>
          </w:p>
        </w:tc>
        <w:tc>
          <w:tcPr>
            <w:tcW w:type="dxa" w:w="4824"/>
            <w:vAlign w:val="center"/>
          </w:tcPr>
          <w:p>
            <w:pPr>
              <w:spacing w:after="0"/>
            </w:pPr>
            <w:r/>
            <w:r>
              <w:rPr>
                <w:rFonts w:ascii="Calibri" w:hAnsi="Calibri"/>
                <w:b w:val="0"/>
                <w:sz w:val="16"/>
              </w:rPr>
              <w:t>NOTIFICATION records outbound messages and delivery outcome for audit/retry handling.</w:t>
            </w:r>
          </w:p>
        </w:tc>
      </w:tr>
      <w:tr>
        <w:tc>
          <w:tcPr>
            <w:tcW w:type="dxa" w:w="4824"/>
            <w:vAlign w:val="center"/>
          </w:tcPr>
          <w:p>
            <w:pPr>
              <w:spacing w:after="0"/>
            </w:pPr>
            <w:r/>
            <w:r>
              <w:rPr>
                <w:rFonts w:ascii="Calibri" w:hAnsi="Calibri"/>
                <w:b w:val="0"/>
                <w:sz w:val="16"/>
              </w:rPr>
              <w:t>Caching</w:t>
            </w:r>
          </w:p>
        </w:tc>
        <w:tc>
          <w:tcPr>
            <w:tcW w:type="dxa" w:w="4824"/>
            <w:vAlign w:val="center"/>
          </w:tcPr>
          <w:p>
            <w:pPr>
              <w:spacing w:after="0"/>
            </w:pPr>
            <w:r/>
            <w:r>
              <w:rPr>
                <w:rFonts w:ascii="Calibri" w:hAnsi="Calibri"/>
                <w:b w:val="0"/>
                <w:sz w:val="16"/>
              </w:rPr>
              <w:t>Redis caches repeated filter combinations with a five-minute TTL and supports session storage.</w:t>
            </w:r>
          </w:p>
        </w:tc>
      </w:tr>
      <w:tr>
        <w:tc>
          <w:tcPr>
            <w:tcW w:type="dxa" w:w="4824"/>
            <w:vAlign w:val="center"/>
          </w:tcPr>
          <w:p>
            <w:pPr>
              <w:spacing w:after="0"/>
            </w:pPr>
            <w:r/>
            <w:r>
              <w:rPr>
                <w:rFonts w:ascii="Calibri" w:hAnsi="Calibri"/>
                <w:b w:val="0"/>
                <w:sz w:val="16"/>
              </w:rPr>
              <w:t>Reporting</w:t>
            </w:r>
          </w:p>
        </w:tc>
        <w:tc>
          <w:tcPr>
            <w:tcW w:type="dxa" w:w="4824"/>
            <w:vAlign w:val="center"/>
          </w:tcPr>
          <w:p>
            <w:pPr>
              <w:spacing w:after="0"/>
            </w:pPr>
            <w:r/>
            <w:r>
              <w:rPr>
                <w:rFonts w:ascii="Calibri" w:hAnsi="Calibri"/>
                <w:b w:val="0"/>
                <w:sz w:val="16"/>
              </w:rPr>
              <w:t>Aggregation queries generate seller and administrator reports; exports are CSV/PDF as specified.</w:t>
            </w:r>
          </w:p>
        </w:tc>
      </w:tr>
    </w:tbl>
    <w:p>
      <w:pPr>
        <w:spacing w:after="0"/>
      </w:pPr>
    </w:p>
    <w:p>
      <w:pPr>
        <w:pStyle w:val="Heading2"/>
        <w:spacing w:before="100" w:after="80"/>
      </w:pPr>
      <w:r>
        <w:t>4.2 UML Sequence Diagrams</w:t>
      </w:r>
    </w:p>
    <w:p>
      <w:pPr>
        <w:spacing w:after="100" w:line="259" w:lineRule="auto"/>
      </w:pPr>
      <w:r>
        <w:t>Two representative sequences are included below. They cover account activation and the critical checkout/payment flow specified in the SRS.</w:t>
      </w:r>
    </w:p>
    <w:p>
      <w:pPr>
        <w:pStyle w:val="Heading3"/>
        <w:spacing w:before="100" w:after="80"/>
      </w:pPr>
      <w:r>
        <w:t>4.2.1 Sequence Diagram - Registration and OTP Verification</w:t>
      </w:r>
    </w:p>
    <w:p>
      <w:r>
        <w:drawing>
          <wp:inline>
            <wp:extent cx="6126480" cy="1575381"/>
            <wp:docPr id="2" name="Picture 2"/>
            <wp:cNvGraphicFramePr>
              <a:graphicFrameLocks noChangeAspect="1"/>
            </wp:cNvGraphicFramePr>
            <a:graphic>
              <a:graphicData uri="http://schemas.openxmlformats.org/drawingml/2006/picture">
                <pic:pic>
                  <pic:nvPicPr>
                    <pic:cNvPr id="0" name="sequence_registration.png"/>
                    <pic:cNvPicPr/>
                  </pic:nvPicPr>
                  <pic:blipFill>
                    <a:blip r:embed="rId11"/>
                    <a:stretch>
                      <a:fillRect/>
                    </a:stretch>
                  </pic:blipFill>
                  <pic:spPr>
                    <a:xfrm>
                      <a:off x="0" y="0"/>
                      <a:ext cx="6126480" cy="1575381"/>
                    </a:xfrm>
                    <a:prstGeom prst="rect"/>
                  </pic:spPr>
                </pic:pic>
              </a:graphicData>
            </a:graphic>
          </wp:inline>
        </w:drawing>
      </w:r>
    </w:p>
    <w:p>
      <w:pPr>
        <w:jc w:val="center"/>
      </w:pPr>
      <w:r>
        <w:rPr>
          <w:i/>
          <w:sz w:val="18"/>
        </w:rPr>
        <w:t>Figure 2. Registration, OTP generation, e-mail delivery and verification</w:t>
      </w:r>
    </w:p>
    <w:p>
      <w:pPr>
        <w:spacing w:after="100" w:line="259" w:lineRule="auto"/>
      </w:pPr>
      <w:r>
        <w:t>The registration flow creates an unverified user, generates a six-digit OTP and sends it through the notification/SMTP path. Verification activates the account. The SRS further constrains OTP validity to ten minutes, limits resend frequency, and blocks unverified accounts from signing in.</w:t>
      </w:r>
    </w:p>
    <w:p>
      <w:pPr>
        <w:pStyle w:val="Heading3"/>
        <w:spacing w:before="100" w:after="80"/>
      </w:pPr>
      <w:r>
        <w:t>4.2.2 Sequence Diagram - Checkout and Payment Confirmation</w:t>
      </w:r>
    </w:p>
    <w:p>
      <w:r>
        <w:drawing>
          <wp:inline>
            <wp:extent cx="6126480" cy="2824890"/>
            <wp:docPr id="3" name="Picture 3"/>
            <wp:cNvGraphicFramePr>
              <a:graphicFrameLocks noChangeAspect="1"/>
            </wp:cNvGraphicFramePr>
            <a:graphic>
              <a:graphicData uri="http://schemas.openxmlformats.org/drawingml/2006/picture">
                <pic:pic>
                  <pic:nvPicPr>
                    <pic:cNvPr id="0" name="sequence_checkout.png"/>
                    <pic:cNvPicPr/>
                  </pic:nvPicPr>
                  <pic:blipFill>
                    <a:blip r:embed="rId12"/>
                    <a:stretch>
                      <a:fillRect/>
                    </a:stretch>
                  </pic:blipFill>
                  <pic:spPr>
                    <a:xfrm>
                      <a:off x="0" y="0"/>
                      <a:ext cx="6126480" cy="2824890"/>
                    </a:xfrm>
                    <a:prstGeom prst="rect"/>
                  </pic:spPr>
                </pic:pic>
              </a:graphicData>
            </a:graphic>
          </wp:inline>
        </w:drawing>
      </w:r>
    </w:p>
    <w:p>
      <w:pPr>
        <w:jc w:val="center"/>
      </w:pPr>
      <w:r>
        <w:rPr>
          <w:i/>
          <w:sz w:val="18"/>
        </w:rPr>
        <w:t>Figure 3. Checkout, payment gateway callback, stock update and notification</w:t>
      </w:r>
    </w:p>
    <w:p>
      <w:pPr>
        <w:spacing w:after="100" w:line="259" w:lineRule="auto"/>
      </w:pPr>
      <w:r>
        <w:t>The checkout flow revalidates current price and stock before creating a payment intent. The application trusts only a signature-verified gateway callback. On success, stock is decremented atomically and the order moves to CONFIRMED; on failure the order remains PLACED and stock is not decremented. The callback is idempotent so repeated callbacks do not confirm an order twice.</w:t>
      </w:r>
    </w:p>
    <w:p>
      <w:pPr>
        <w:pStyle w:val="Heading2"/>
        <w:spacing w:before="100" w:after="80"/>
      </w:pPr>
      <w:r>
        <w:t>4.3 API Design</w:t>
      </w:r>
    </w:p>
    <w:p>
      <w:pPr>
        <w:spacing w:after="100" w:line="259" w:lineRule="auto"/>
      </w:pPr>
      <w:r>
        <w:t>The SRS specifies a REST API over HTTPS with JSON requests/responses and bearer JWT authentication. The following are representative design interfaces derived from the SRS requirements; the repository OpenAPI document remains the authoritative implementation contract.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30"/>
        <w:gridCol w:w="1930"/>
        <w:gridCol w:w="1930"/>
        <w:gridCol w:w="1930"/>
        <w:gridCol w:w="1930"/>
      </w:tblGrid>
      <w:tr>
        <w:tc>
          <w:tcPr>
            <w:tcW w:type="dxa" w:w="1930"/>
            <w:vAlign w:val="center"/>
            <w:shd w:fill="D9EAF7"/>
          </w:tcPr>
          <w:p>
            <w:pPr>
              <w:spacing w:after="0"/>
            </w:pPr>
            <w:r/>
            <w:r>
              <w:rPr>
                <w:rFonts w:ascii="Calibri" w:hAnsi="Calibri"/>
                <w:b/>
                <w:sz w:val="15"/>
              </w:rPr>
              <w:t>Component / Endpoint</w:t>
            </w:r>
          </w:p>
        </w:tc>
        <w:tc>
          <w:tcPr>
            <w:tcW w:type="dxa" w:w="1930"/>
            <w:vAlign w:val="center"/>
            <w:shd w:fill="D9EAF7"/>
          </w:tcPr>
          <w:p>
            <w:pPr>
              <w:spacing w:after="0"/>
            </w:pPr>
            <w:r/>
            <w:r>
              <w:rPr>
                <w:rFonts w:ascii="Calibri" w:hAnsi="Calibri"/>
                <w:b/>
                <w:sz w:val="15"/>
              </w:rPr>
              <w:t>Method</w:t>
            </w:r>
          </w:p>
        </w:tc>
        <w:tc>
          <w:tcPr>
            <w:tcW w:type="dxa" w:w="1930"/>
            <w:vAlign w:val="center"/>
            <w:shd w:fill="D9EAF7"/>
          </w:tcPr>
          <w:p>
            <w:pPr>
              <w:spacing w:after="0"/>
            </w:pPr>
            <w:r/>
            <w:r>
              <w:rPr>
                <w:rFonts w:ascii="Calibri" w:hAnsi="Calibri"/>
                <w:b/>
                <w:sz w:val="15"/>
              </w:rPr>
              <w:t>Request / Inputs</w:t>
            </w:r>
          </w:p>
        </w:tc>
        <w:tc>
          <w:tcPr>
            <w:tcW w:type="dxa" w:w="1930"/>
            <w:vAlign w:val="center"/>
            <w:shd w:fill="D9EAF7"/>
          </w:tcPr>
          <w:p>
            <w:pPr>
              <w:spacing w:after="0"/>
            </w:pPr>
            <w:r/>
            <w:r>
              <w:rPr>
                <w:rFonts w:ascii="Calibri" w:hAnsi="Calibri"/>
                <w:b/>
                <w:sz w:val="15"/>
              </w:rPr>
              <w:t>Response / Outputs</w:t>
            </w:r>
          </w:p>
        </w:tc>
        <w:tc>
          <w:tcPr>
            <w:tcW w:type="dxa" w:w="1930"/>
            <w:vAlign w:val="center"/>
            <w:shd w:fill="D9EAF7"/>
          </w:tcPr>
          <w:p>
            <w:pPr>
              <w:spacing w:after="0"/>
            </w:pPr>
            <w:r/>
            <w:r>
              <w:rPr>
                <w:rFonts w:ascii="Calibri" w:hAnsi="Calibri"/>
                <w:b/>
                <w:sz w:val="15"/>
              </w:rPr>
              <w:t>Key errors / controls</w:t>
            </w:r>
          </w:p>
        </w:tc>
      </w:tr>
      <w:tr>
        <w:tc>
          <w:tcPr>
            <w:tcW w:type="dxa" w:w="1930"/>
            <w:vAlign w:val="center"/>
          </w:tcPr>
          <w:p>
            <w:pPr>
              <w:spacing w:after="0"/>
            </w:pPr>
            <w:r/>
            <w:r>
              <w:rPr>
                <w:rFonts w:ascii="Calibri" w:hAnsi="Calibri"/>
                <w:b w:val="0"/>
                <w:sz w:val="15"/>
              </w:rPr>
              <w:t>Auth /api/auth/register</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name, email, phone, password, role</w:t>
            </w:r>
          </w:p>
        </w:tc>
        <w:tc>
          <w:tcPr>
            <w:tcW w:type="dxa" w:w="1930"/>
            <w:vAlign w:val="center"/>
          </w:tcPr>
          <w:p>
            <w:pPr>
              <w:spacing w:after="0"/>
            </w:pPr>
            <w:r/>
            <w:r>
              <w:rPr>
                <w:rFonts w:ascii="Calibri" w:hAnsi="Calibri"/>
                <w:b w:val="0"/>
                <w:sz w:val="15"/>
              </w:rPr>
              <w:t>Unverified user; OTP dispatch status</w:t>
            </w:r>
          </w:p>
        </w:tc>
        <w:tc>
          <w:tcPr>
            <w:tcW w:type="dxa" w:w="1930"/>
            <w:vAlign w:val="center"/>
          </w:tcPr>
          <w:p>
            <w:pPr>
              <w:spacing w:after="0"/>
            </w:pPr>
            <w:r/>
            <w:r>
              <w:rPr>
                <w:rFonts w:ascii="Calibri" w:hAnsi="Calibri"/>
                <w:b w:val="0"/>
                <w:sz w:val="15"/>
              </w:rPr>
              <w:t>400 validation/duplicate email</w:t>
            </w:r>
          </w:p>
        </w:tc>
      </w:tr>
      <w:tr>
        <w:tc>
          <w:tcPr>
            <w:tcW w:type="dxa" w:w="1930"/>
            <w:vAlign w:val="center"/>
          </w:tcPr>
          <w:p>
            <w:pPr>
              <w:spacing w:after="0"/>
            </w:pPr>
            <w:r/>
            <w:r>
              <w:rPr>
                <w:rFonts w:ascii="Calibri" w:hAnsi="Calibri"/>
                <w:b w:val="0"/>
                <w:sz w:val="15"/>
              </w:rPr>
              <w:t>Auth /api/auth/verify-otp</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email, otp</w:t>
            </w:r>
          </w:p>
        </w:tc>
        <w:tc>
          <w:tcPr>
            <w:tcW w:type="dxa" w:w="1930"/>
            <w:vAlign w:val="center"/>
          </w:tcPr>
          <w:p>
            <w:pPr>
              <w:spacing w:after="0"/>
            </w:pPr>
            <w:r/>
            <w:r>
              <w:rPr>
                <w:rFonts w:ascii="Calibri" w:hAnsi="Calibri"/>
                <w:b w:val="0"/>
                <w:sz w:val="15"/>
              </w:rPr>
              <w:t>Verification success/session</w:t>
            </w:r>
          </w:p>
        </w:tc>
        <w:tc>
          <w:tcPr>
            <w:tcW w:type="dxa" w:w="1930"/>
            <w:vAlign w:val="center"/>
          </w:tcPr>
          <w:p>
            <w:pPr>
              <w:spacing w:after="0"/>
            </w:pPr>
            <w:r/>
            <w:r>
              <w:rPr>
                <w:rFonts w:ascii="Calibri" w:hAnsi="Calibri"/>
                <w:b w:val="0"/>
                <w:sz w:val="15"/>
              </w:rPr>
              <w:t>400 invalid/expired OTP; 429 request limit</w:t>
            </w:r>
          </w:p>
        </w:tc>
      </w:tr>
      <w:tr>
        <w:tc>
          <w:tcPr>
            <w:tcW w:type="dxa" w:w="1930"/>
            <w:vAlign w:val="center"/>
          </w:tcPr>
          <w:p>
            <w:pPr>
              <w:spacing w:after="0"/>
            </w:pPr>
            <w:r/>
            <w:r>
              <w:rPr>
                <w:rFonts w:ascii="Calibri" w:hAnsi="Calibri"/>
                <w:b w:val="0"/>
                <w:sz w:val="15"/>
              </w:rPr>
              <w:t>Catalogue /api/books/search</w:t>
            </w:r>
          </w:p>
        </w:tc>
        <w:tc>
          <w:tcPr>
            <w:tcW w:type="dxa" w:w="1930"/>
            <w:vAlign w:val="center"/>
          </w:tcPr>
          <w:p>
            <w:pPr>
              <w:spacing w:after="0"/>
            </w:pPr>
            <w:r/>
            <w:r>
              <w:rPr>
                <w:rFonts w:ascii="Calibri" w:hAnsi="Calibri"/>
                <w:b w:val="0"/>
                <w:sz w:val="15"/>
              </w:rPr>
              <w:t>GET</w:t>
            </w:r>
          </w:p>
        </w:tc>
        <w:tc>
          <w:tcPr>
            <w:tcW w:type="dxa" w:w="1930"/>
            <w:vAlign w:val="center"/>
          </w:tcPr>
          <w:p>
            <w:pPr>
              <w:spacing w:after="0"/>
            </w:pPr>
            <w:r/>
            <w:r>
              <w:rPr>
                <w:rFonts w:ascii="Calibri" w:hAnsi="Calibri"/>
                <w:b w:val="0"/>
                <w:sz w:val="15"/>
              </w:rPr>
              <w:t>q, category, price, condition, language, rating, sort, page</w:t>
            </w:r>
          </w:p>
        </w:tc>
        <w:tc>
          <w:tcPr>
            <w:tcW w:type="dxa" w:w="1930"/>
            <w:vAlign w:val="center"/>
          </w:tcPr>
          <w:p>
            <w:pPr>
              <w:spacing w:after="0"/>
            </w:pPr>
            <w:r/>
            <w:r>
              <w:rPr>
                <w:rFonts w:ascii="Calibri" w:hAnsi="Calibri"/>
                <w:b w:val="0"/>
                <w:sz w:val="15"/>
              </w:rPr>
              <w:t>Paged results</w:t>
            </w:r>
          </w:p>
        </w:tc>
        <w:tc>
          <w:tcPr>
            <w:tcW w:type="dxa" w:w="1930"/>
            <w:vAlign w:val="center"/>
          </w:tcPr>
          <w:p>
            <w:pPr>
              <w:spacing w:after="0"/>
            </w:pPr>
            <w:r/>
            <w:r>
              <w:rPr>
                <w:rFonts w:ascii="Calibri" w:hAnsi="Calibri"/>
                <w:b w:val="0"/>
                <w:sz w:val="15"/>
              </w:rPr>
              <w:t>400 invalid filter; indexed search</w:t>
            </w:r>
          </w:p>
        </w:tc>
      </w:tr>
      <w:tr>
        <w:tc>
          <w:tcPr>
            <w:tcW w:type="dxa" w:w="1930"/>
            <w:vAlign w:val="center"/>
          </w:tcPr>
          <w:p>
            <w:pPr>
              <w:spacing w:after="0"/>
            </w:pPr>
            <w:r/>
            <w:r>
              <w:rPr>
                <w:rFonts w:ascii="Calibri" w:hAnsi="Calibri"/>
                <w:b w:val="0"/>
                <w:sz w:val="15"/>
              </w:rPr>
              <w:t>Cart /api/cart/items</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listingId, quantity</w:t>
            </w:r>
          </w:p>
        </w:tc>
        <w:tc>
          <w:tcPr>
            <w:tcW w:type="dxa" w:w="1930"/>
            <w:vAlign w:val="center"/>
          </w:tcPr>
          <w:p>
            <w:pPr>
              <w:spacing w:after="0"/>
            </w:pPr>
            <w:r/>
            <w:r>
              <w:rPr>
                <w:rFonts w:ascii="Calibri" w:hAnsi="Calibri"/>
                <w:b w:val="0"/>
                <w:sz w:val="15"/>
              </w:rPr>
              <w:t>Updated cart line/totals</w:t>
            </w:r>
          </w:p>
        </w:tc>
        <w:tc>
          <w:tcPr>
            <w:tcW w:type="dxa" w:w="1930"/>
            <w:vAlign w:val="center"/>
          </w:tcPr>
          <w:p>
            <w:pPr>
              <w:spacing w:after="0"/>
            </w:pPr>
            <w:r/>
            <w:r>
              <w:rPr>
                <w:rFonts w:ascii="Calibri" w:hAnsi="Calibri"/>
                <w:b w:val="0"/>
                <w:sz w:val="15"/>
              </w:rPr>
              <w:t>400 invalid quantity/stock; ownership</w:t>
            </w:r>
          </w:p>
        </w:tc>
      </w:tr>
      <w:tr>
        <w:tc>
          <w:tcPr>
            <w:tcW w:type="dxa" w:w="1930"/>
            <w:vAlign w:val="center"/>
          </w:tcPr>
          <w:p>
            <w:pPr>
              <w:spacing w:after="0"/>
            </w:pPr>
            <w:r/>
            <w:r>
              <w:rPr>
                <w:rFonts w:ascii="Calibri" w:hAnsi="Calibri"/>
                <w:b w:val="0"/>
                <w:sz w:val="15"/>
              </w:rPr>
              <w:t>Order /api/orders</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cart, addressId, couponCode</w:t>
            </w:r>
          </w:p>
        </w:tc>
        <w:tc>
          <w:tcPr>
            <w:tcW w:type="dxa" w:w="1930"/>
            <w:vAlign w:val="center"/>
          </w:tcPr>
          <w:p>
            <w:pPr>
              <w:spacing w:after="0"/>
            </w:pPr>
            <w:r/>
            <w:r>
              <w:rPr>
                <w:rFonts w:ascii="Calibri" w:hAnsi="Calibri"/>
                <w:b w:val="0"/>
                <w:sz w:val="15"/>
              </w:rPr>
              <w:t>PLACED order + payment intent ref</w:t>
            </w:r>
          </w:p>
        </w:tc>
        <w:tc>
          <w:tcPr>
            <w:tcW w:type="dxa" w:w="1930"/>
            <w:vAlign w:val="center"/>
          </w:tcPr>
          <w:p>
            <w:pPr>
              <w:spacing w:after="0"/>
            </w:pPr>
            <w:r/>
            <w:r>
              <w:rPr>
                <w:rFonts w:ascii="Calibri" w:hAnsi="Calibri"/>
                <w:b w:val="0"/>
                <w:sz w:val="15"/>
              </w:rPr>
              <w:t>400 revalidation failure</w:t>
            </w:r>
          </w:p>
        </w:tc>
      </w:tr>
      <w:tr>
        <w:tc>
          <w:tcPr>
            <w:tcW w:type="dxa" w:w="1930"/>
            <w:vAlign w:val="center"/>
          </w:tcPr>
          <w:p>
            <w:pPr>
              <w:spacing w:after="0"/>
            </w:pPr>
            <w:r/>
            <w:r>
              <w:rPr>
                <w:rFonts w:ascii="Calibri" w:hAnsi="Calibri"/>
                <w:b w:val="0"/>
                <w:sz w:val="15"/>
              </w:rPr>
              <w:t>Payment /api/payments/webhook</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Signed gateway callback</w:t>
            </w:r>
          </w:p>
        </w:tc>
        <w:tc>
          <w:tcPr>
            <w:tcW w:type="dxa" w:w="1930"/>
            <w:vAlign w:val="center"/>
          </w:tcPr>
          <w:p>
            <w:pPr>
              <w:spacing w:after="0"/>
            </w:pPr>
            <w:r/>
            <w:r>
              <w:rPr>
                <w:rFonts w:ascii="Calibri" w:hAnsi="Calibri"/>
                <w:b w:val="0"/>
                <w:sz w:val="15"/>
              </w:rPr>
              <w:t>Idempotent acknowledgement</w:t>
            </w:r>
          </w:p>
        </w:tc>
        <w:tc>
          <w:tcPr>
            <w:tcW w:type="dxa" w:w="1930"/>
            <w:vAlign w:val="center"/>
          </w:tcPr>
          <w:p>
            <w:pPr>
              <w:spacing w:after="0"/>
            </w:pPr>
            <w:r/>
            <w:r>
              <w:rPr>
                <w:rFonts w:ascii="Calibri" w:hAnsi="Calibri"/>
                <w:b w:val="0"/>
                <w:sz w:val="15"/>
              </w:rPr>
              <w:t>401 invalid signature; duplicates ignored</w:t>
            </w:r>
          </w:p>
        </w:tc>
      </w:tr>
      <w:tr>
        <w:tc>
          <w:tcPr>
            <w:tcW w:type="dxa" w:w="1930"/>
            <w:vAlign w:val="center"/>
          </w:tcPr>
          <w:p>
            <w:pPr>
              <w:spacing w:after="0"/>
            </w:pPr>
            <w:r/>
            <w:r>
              <w:rPr>
                <w:rFonts w:ascii="Calibri" w:hAnsi="Calibri"/>
                <w:b w:val="0"/>
                <w:sz w:val="15"/>
              </w:rPr>
              <w:t>Seller /api/seller/listings</w:t>
            </w:r>
          </w:p>
        </w:tc>
        <w:tc>
          <w:tcPr>
            <w:tcW w:type="dxa" w:w="1930"/>
            <w:vAlign w:val="center"/>
          </w:tcPr>
          <w:p>
            <w:pPr>
              <w:spacing w:after="0"/>
            </w:pPr>
            <w:r/>
            <w:r>
              <w:rPr>
                <w:rFonts w:ascii="Calibri" w:hAnsi="Calibri"/>
                <w:b w:val="0"/>
                <w:sz w:val="15"/>
              </w:rPr>
              <w:t>POST</w:t>
            </w:r>
          </w:p>
        </w:tc>
        <w:tc>
          <w:tcPr>
            <w:tcW w:type="dxa" w:w="1930"/>
            <w:vAlign w:val="center"/>
          </w:tcPr>
          <w:p>
            <w:pPr>
              <w:spacing w:after="0"/>
            </w:pPr>
            <w:r/>
            <w:r>
              <w:rPr>
                <w:rFonts w:ascii="Calibri" w:hAnsi="Calibri"/>
                <w:b w:val="0"/>
                <w:sz w:val="15"/>
              </w:rPr>
              <w:t>isbn13, condition, price, mrp, stock</w:t>
            </w:r>
          </w:p>
        </w:tc>
        <w:tc>
          <w:tcPr>
            <w:tcW w:type="dxa" w:w="1930"/>
            <w:vAlign w:val="center"/>
          </w:tcPr>
          <w:p>
            <w:pPr>
              <w:spacing w:after="0"/>
            </w:pPr>
            <w:r/>
            <w:r>
              <w:rPr>
                <w:rFonts w:ascii="Calibri" w:hAnsi="Calibri"/>
                <w:b w:val="0"/>
                <w:sz w:val="15"/>
              </w:rPr>
              <w:t>Created/updated listing</w:t>
            </w:r>
          </w:p>
        </w:tc>
        <w:tc>
          <w:tcPr>
            <w:tcW w:type="dxa" w:w="1930"/>
            <w:vAlign w:val="center"/>
          </w:tcPr>
          <w:p>
            <w:pPr>
              <w:spacing w:after="0"/>
            </w:pPr>
            <w:r/>
            <w:r>
              <w:rPr>
                <w:rFonts w:ascii="Calibri" w:hAnsi="Calibri"/>
                <w:b w:val="0"/>
                <w:sz w:val="15"/>
              </w:rPr>
              <w:t>400 price &gt; MRP; RBAC</w:t>
            </w:r>
          </w:p>
        </w:tc>
      </w:tr>
      <w:tr>
        <w:tc>
          <w:tcPr>
            <w:tcW w:type="dxa" w:w="1930"/>
            <w:vAlign w:val="center"/>
          </w:tcPr>
          <w:p>
            <w:pPr>
              <w:spacing w:after="0"/>
            </w:pPr>
            <w:r/>
            <w:r>
              <w:rPr>
                <w:rFonts w:ascii="Calibri" w:hAnsi="Calibri"/>
                <w:b w:val="0"/>
                <w:sz w:val="15"/>
              </w:rPr>
              <w:t>Admin /api/admin/reports</w:t>
            </w:r>
          </w:p>
        </w:tc>
        <w:tc>
          <w:tcPr>
            <w:tcW w:type="dxa" w:w="1930"/>
            <w:vAlign w:val="center"/>
          </w:tcPr>
          <w:p>
            <w:pPr>
              <w:spacing w:after="0"/>
            </w:pPr>
            <w:r/>
            <w:r>
              <w:rPr>
                <w:rFonts w:ascii="Calibri" w:hAnsi="Calibri"/>
                <w:b w:val="0"/>
                <w:sz w:val="15"/>
              </w:rPr>
              <w:t>GET</w:t>
            </w:r>
          </w:p>
        </w:tc>
        <w:tc>
          <w:tcPr>
            <w:tcW w:type="dxa" w:w="1930"/>
            <w:vAlign w:val="center"/>
          </w:tcPr>
          <w:p>
            <w:pPr>
              <w:spacing w:after="0"/>
            </w:pPr>
            <w:r/>
            <w:r>
              <w:rPr>
                <w:rFonts w:ascii="Calibri" w:hAnsi="Calibri"/>
                <w:b w:val="0"/>
                <w:sz w:val="15"/>
              </w:rPr>
              <w:t>month, report type, export format</w:t>
            </w:r>
          </w:p>
        </w:tc>
        <w:tc>
          <w:tcPr>
            <w:tcW w:type="dxa" w:w="1930"/>
            <w:vAlign w:val="center"/>
          </w:tcPr>
          <w:p>
            <w:pPr>
              <w:spacing w:after="0"/>
            </w:pPr>
            <w:r/>
            <w:r>
              <w:rPr>
                <w:rFonts w:ascii="Calibri" w:hAnsi="Calibri"/>
                <w:b w:val="0"/>
                <w:sz w:val="15"/>
              </w:rPr>
              <w:t>Report data or CSV/PDF</w:t>
            </w:r>
          </w:p>
        </w:tc>
        <w:tc>
          <w:tcPr>
            <w:tcW w:type="dxa" w:w="1930"/>
            <w:vAlign w:val="center"/>
          </w:tcPr>
          <w:p>
            <w:pPr>
              <w:spacing w:after="0"/>
            </w:pPr>
            <w:r/>
            <w:r>
              <w:rPr>
                <w:rFonts w:ascii="Calibri" w:hAnsi="Calibri"/>
                <w:b w:val="0"/>
                <w:sz w:val="15"/>
              </w:rPr>
              <w:t>403 non-admin; aggregation handling</w:t>
            </w:r>
          </w:p>
        </w:tc>
      </w:tr>
    </w:tbl>
    <w:p>
      <w:pPr>
        <w:spacing w:after="0"/>
      </w:pPr>
    </w:p>
    <w:p>
      <w:pPr>
        <w:pStyle w:val="Heading3"/>
        <w:spacing w:before="100" w:after="80"/>
      </w:pPr>
      <w:r>
        <w:t>4.3.1 API Design Rules</w:t>
      </w:r>
    </w:p>
    <w:p>
      <w:pPr>
        <w:spacing w:after="60"/>
      </w:pPr>
      <w:r>
        <w:t>All application API traffic uses HTTPS with TLS 1.2 or higher; plain HTTP is redirected to HTTPS.</w:t>
      </w:r>
    </w:p>
    <w:p>
      <w:pPr>
        <w:spacing w:after="60"/>
      </w:pPr>
      <w:r>
        <w:t>Authenticated requests carry a bearer JWT in the Authorization header.</w:t>
      </w:r>
    </w:p>
    <w:p>
      <w:pPr>
        <w:spacing w:after="60"/>
      </w:pPr>
      <w:r>
        <w:t>Errors return an HTTP status, stable machine-readable error code and human-readable message.</w:t>
      </w:r>
    </w:p>
    <w:p>
      <w:pPr>
        <w:spacing w:after="60"/>
      </w:pPr>
      <w:r>
        <w:t>The payment webhook verifies its signature before trusting the payload and is idempotent.</w:t>
      </w:r>
    </w:p>
    <w:p>
      <w:pPr>
        <w:spacing w:after="60"/>
      </w:pPr>
      <w:r>
        <w:t>CORS accepts only the deployed client origin.</w:t>
      </w:r>
    </w:p>
    <w:p>
      <w:pPr>
        <w:spacing w:after="60"/>
      </w:pPr>
      <w:r>
        <w:t>Sensitive information such as passwords, tokens and card details is never written to application logs.</w:t>
      </w:r>
    </w:p>
    <w:p>
      <w:pPr>
        <w:pStyle w:val="Heading2"/>
        <w:spacing w:before="100" w:after="80"/>
      </w:pPr>
      <w:r>
        <w:t>4.4 Error Handling, Logging &amp; Monitoring</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6"/>
              </w:rPr>
              <w:t>Area</w:t>
            </w:r>
          </w:p>
        </w:tc>
        <w:tc>
          <w:tcPr>
            <w:tcW w:type="dxa" w:w="4824"/>
            <w:vAlign w:val="center"/>
            <w:shd w:fill="D9EAF7"/>
          </w:tcPr>
          <w:p>
            <w:pPr>
              <w:spacing w:after="0"/>
            </w:pPr>
            <w:r/>
            <w:r>
              <w:rPr>
                <w:rFonts w:ascii="Calibri" w:hAnsi="Calibri"/>
                <w:b/>
                <w:sz w:val="16"/>
              </w:rPr>
              <w:t>Design</w:t>
            </w:r>
          </w:p>
        </w:tc>
      </w:tr>
      <w:tr>
        <w:tc>
          <w:tcPr>
            <w:tcW w:type="dxa" w:w="4824"/>
            <w:vAlign w:val="center"/>
          </w:tcPr>
          <w:p>
            <w:pPr>
              <w:spacing w:after="0"/>
            </w:pPr>
            <w:r/>
            <w:r>
              <w:rPr>
                <w:rFonts w:ascii="Calibri" w:hAnsi="Calibri"/>
                <w:b w:val="0"/>
                <w:sz w:val="16"/>
              </w:rPr>
              <w:t>Validation</w:t>
            </w:r>
          </w:p>
        </w:tc>
        <w:tc>
          <w:tcPr>
            <w:tcW w:type="dxa" w:w="4824"/>
            <w:vAlign w:val="center"/>
          </w:tcPr>
          <w:p>
            <w:pPr>
              <w:spacing w:after="0"/>
            </w:pPr>
            <w:r/>
            <w:r>
              <w:rPr>
                <w:rFonts w:ascii="Calibri" w:hAnsi="Calibri"/>
                <w:b w:val="0"/>
                <w:sz w:val="16"/>
              </w:rPr>
              <w:t>Validate all user input server-side; return field-level validation messages in the client.</w:t>
            </w:r>
          </w:p>
        </w:tc>
      </w:tr>
      <w:tr>
        <w:tc>
          <w:tcPr>
            <w:tcW w:type="dxa" w:w="4824"/>
            <w:vAlign w:val="center"/>
          </w:tcPr>
          <w:p>
            <w:pPr>
              <w:spacing w:after="0"/>
            </w:pPr>
            <w:r/>
            <w:r>
              <w:rPr>
                <w:rFonts w:ascii="Calibri" w:hAnsi="Calibri"/>
                <w:b w:val="0"/>
                <w:sz w:val="16"/>
              </w:rPr>
              <w:t>Authentication</w:t>
            </w:r>
          </w:p>
        </w:tc>
        <w:tc>
          <w:tcPr>
            <w:tcW w:type="dxa" w:w="4824"/>
            <w:vAlign w:val="center"/>
          </w:tcPr>
          <w:p>
            <w:pPr>
              <w:spacing w:after="0"/>
            </w:pPr>
            <w:r/>
            <w:r>
              <w:rPr>
                <w:rFonts w:ascii="Calibri" w:hAnsi="Calibri"/>
                <w:b w:val="0"/>
                <w:sz w:val="16"/>
              </w:rPr>
              <w:t>Return 401 for missing/invalid authentication and 403 for authenticated users without required role/ownership.</w:t>
            </w:r>
          </w:p>
        </w:tc>
      </w:tr>
      <w:tr>
        <w:tc>
          <w:tcPr>
            <w:tcW w:type="dxa" w:w="4824"/>
            <w:vAlign w:val="center"/>
          </w:tcPr>
          <w:p>
            <w:pPr>
              <w:spacing w:after="0"/>
            </w:pPr>
            <w:r/>
            <w:r>
              <w:rPr>
                <w:rFonts w:ascii="Calibri" w:hAnsi="Calibri"/>
                <w:b w:val="0"/>
                <w:sz w:val="16"/>
              </w:rPr>
              <w:t>Payment</w:t>
            </w:r>
          </w:p>
        </w:tc>
        <w:tc>
          <w:tcPr>
            <w:tcW w:type="dxa" w:w="4824"/>
            <w:vAlign w:val="center"/>
          </w:tcPr>
          <w:p>
            <w:pPr>
              <w:spacing w:after="0"/>
            </w:pPr>
            <w:r/>
            <w:r>
              <w:rPr>
                <w:rFonts w:ascii="Calibri" w:hAnsi="Calibri"/>
                <w:b w:val="0"/>
                <w:sz w:val="16"/>
              </w:rPr>
              <w:t>Gateway failure leaves order PLACED, preserves stock and permits the defined retry count.</w:t>
            </w:r>
          </w:p>
        </w:tc>
      </w:tr>
      <w:tr>
        <w:tc>
          <w:tcPr>
            <w:tcW w:type="dxa" w:w="4824"/>
            <w:vAlign w:val="center"/>
          </w:tcPr>
          <w:p>
            <w:pPr>
              <w:spacing w:after="0"/>
            </w:pPr>
            <w:r/>
            <w:r>
              <w:rPr>
                <w:rFonts w:ascii="Calibri" w:hAnsi="Calibri"/>
                <w:b w:val="0"/>
                <w:sz w:val="16"/>
              </w:rPr>
              <w:t>Notification</w:t>
            </w:r>
          </w:p>
        </w:tc>
        <w:tc>
          <w:tcPr>
            <w:tcW w:type="dxa" w:w="4824"/>
            <w:vAlign w:val="center"/>
          </w:tcPr>
          <w:p>
            <w:pPr>
              <w:spacing w:after="0"/>
            </w:pPr>
            <w:r/>
            <w:r>
              <w:rPr>
                <w:rFonts w:ascii="Calibri" w:hAnsi="Calibri"/>
                <w:b w:val="0"/>
                <w:sz w:val="16"/>
              </w:rPr>
              <w:t>Queue failed e-mail and retry up to three times; final failure is recorded.</w:t>
            </w:r>
          </w:p>
        </w:tc>
      </w:tr>
      <w:tr>
        <w:tc>
          <w:tcPr>
            <w:tcW w:type="dxa" w:w="4824"/>
            <w:vAlign w:val="center"/>
          </w:tcPr>
          <w:p>
            <w:pPr>
              <w:spacing w:after="0"/>
            </w:pPr>
            <w:r/>
            <w:r>
              <w:rPr>
                <w:rFonts w:ascii="Calibri" w:hAnsi="Calibri"/>
                <w:b w:val="0"/>
                <w:sz w:val="16"/>
              </w:rPr>
              <w:t>Database</w:t>
            </w:r>
          </w:p>
        </w:tc>
        <w:tc>
          <w:tcPr>
            <w:tcW w:type="dxa" w:w="4824"/>
            <w:vAlign w:val="center"/>
          </w:tcPr>
          <w:p>
            <w:pPr>
              <w:spacing w:after="0"/>
            </w:pPr>
            <w:r/>
            <w:r>
              <w:rPr>
                <w:rFonts w:ascii="Calibri" w:hAnsi="Calibri"/>
                <w:b w:val="0"/>
                <w:sz w:val="16"/>
              </w:rPr>
              <w:t>Use compensating records rather than hard deletion for order/payment/shipment history.</w:t>
            </w:r>
          </w:p>
        </w:tc>
      </w:tr>
      <w:tr>
        <w:tc>
          <w:tcPr>
            <w:tcW w:type="dxa" w:w="4824"/>
            <w:vAlign w:val="center"/>
          </w:tcPr>
          <w:p>
            <w:pPr>
              <w:spacing w:after="0"/>
            </w:pPr>
            <w:r/>
            <w:r>
              <w:rPr>
                <w:rFonts w:ascii="Calibri" w:hAnsi="Calibri"/>
                <w:b w:val="0"/>
                <w:sz w:val="16"/>
              </w:rPr>
              <w:t>Logging</w:t>
            </w:r>
          </w:p>
        </w:tc>
        <w:tc>
          <w:tcPr>
            <w:tcW w:type="dxa" w:w="4824"/>
            <w:vAlign w:val="center"/>
          </w:tcPr>
          <w:p>
            <w:pPr>
              <w:spacing w:after="0"/>
            </w:pPr>
            <w:r/>
            <w:r>
              <w:rPr>
                <w:rFonts w:ascii="Calibri" w:hAnsi="Calibri"/>
                <w:b w:val="0"/>
                <w:sz w:val="16"/>
              </w:rPr>
              <w:t>Do not log passwords, card data or other sensitive authentication material.</w:t>
            </w:r>
          </w:p>
        </w:tc>
      </w:tr>
      <w:tr>
        <w:tc>
          <w:tcPr>
            <w:tcW w:type="dxa" w:w="4824"/>
            <w:vAlign w:val="center"/>
          </w:tcPr>
          <w:p>
            <w:pPr>
              <w:spacing w:after="0"/>
            </w:pPr>
            <w:r/>
            <w:r>
              <w:rPr>
                <w:rFonts w:ascii="Calibri" w:hAnsi="Calibri"/>
                <w:b w:val="0"/>
                <w:sz w:val="16"/>
              </w:rPr>
              <w:t>Audit</w:t>
            </w:r>
          </w:p>
        </w:tc>
        <w:tc>
          <w:tcPr>
            <w:tcW w:type="dxa" w:w="4824"/>
            <w:vAlign w:val="center"/>
          </w:tcPr>
          <w:p>
            <w:pPr>
              <w:spacing w:after="0"/>
            </w:pPr>
            <w:r/>
            <w:r>
              <w:rPr>
                <w:rFonts w:ascii="Calibri" w:hAnsi="Calibri"/>
                <w:b w:val="0"/>
                <w:sz w:val="16"/>
              </w:rPr>
              <w:t>Record every administrative action and payment event with actor, action, target and timestamp in an append-only audit log.</w:t>
            </w:r>
          </w:p>
        </w:tc>
      </w:tr>
      <w:tr>
        <w:tc>
          <w:tcPr>
            <w:tcW w:type="dxa" w:w="4824"/>
            <w:vAlign w:val="center"/>
          </w:tcPr>
          <w:p>
            <w:pPr>
              <w:spacing w:after="0"/>
            </w:pPr>
            <w:r/>
            <w:r>
              <w:rPr>
                <w:rFonts w:ascii="Calibri" w:hAnsi="Calibri"/>
                <w:b w:val="0"/>
                <w:sz w:val="16"/>
              </w:rPr>
              <w:t>Monitoring</w:t>
            </w:r>
          </w:p>
        </w:tc>
        <w:tc>
          <w:tcPr>
            <w:tcW w:type="dxa" w:w="4824"/>
            <w:vAlign w:val="center"/>
          </w:tcPr>
          <w:p>
            <w:pPr>
              <w:spacing w:after="0"/>
            </w:pPr>
            <w:r/>
            <w:r>
              <w:rPr>
                <w:rFonts w:ascii="Calibri" w:hAnsi="Calibri"/>
                <w:b w:val="0"/>
                <w:sz w:val="16"/>
              </w:rPr>
              <w:t>Monitor health/uptime, search latency, payment failure rate, notification failures and critical service errors.</w:t>
            </w:r>
          </w:p>
        </w:tc>
      </w:tr>
    </w:tbl>
    <w:p>
      <w:pPr>
        <w:spacing w:after="0"/>
      </w:pPr>
    </w:p>
    <w:p>
      <w:pPr>
        <w:pStyle w:val="Heading2"/>
        <w:spacing w:before="100" w:after="80"/>
      </w:pPr>
      <w:r>
        <w:t>4.5 UX Design</w:t>
      </w:r>
    </w:p>
    <w:p>
      <w:pPr>
        <w:spacing w:after="100" w:line="259" w:lineRule="auto"/>
      </w:pPr>
      <w:r>
        <w:t>The React client uses a shared component library for buyer, seller and administrator surfaces. The persistent header provides search, cart and account access on buyer-facing screens. The UI is responsive down to a 360 px viewport, uses inline field-level errors, requires confirmation for destructive actions, supports keyboard navigation and targets WCAG 2.1 AA contrast. Checkout is constrained to at most four screens from cart to confirmation.</w:t>
      </w:r>
    </w:p>
    <w:p>
      <w:pPr>
        <w:spacing w:after="60"/>
      </w:pPr>
      <w:r>
        <w:t>Buyer surfaces: Home/Catalogue, Search Results, Book Detail, Cart, Checkout, Order Confirmation, Order History/Tracking.</w:t>
      </w:r>
    </w:p>
    <w:p>
      <w:pPr>
        <w:spacing w:after="60"/>
      </w:pPr>
      <w:r>
        <w:t>Seller surfaces: Listing Form, Inventory, Seller Dashboard and fulfilment views.</w:t>
      </w:r>
    </w:p>
    <w:p>
      <w:pPr>
        <w:spacing w:after="60"/>
      </w:pPr>
      <w:r>
        <w:t>Administrator surfaces: Moderation Queue and Analytics/Reports.</w:t>
      </w:r>
    </w:p>
    <w:p>
      <w:pPr>
        <w:spacing w:after="60"/>
      </w:pPr>
      <w:r>
        <w:t>Failed payments explain the failure and expose a retry path instead of showing only a status code.</w:t>
      </w:r>
    </w:p>
    <w:p>
      <w:pPr>
        <w:pStyle w:val="Heading2"/>
        <w:spacing w:before="100" w:after="80"/>
      </w:pPr>
      <w:r>
        <w:t>4.6 Open Issues &amp; Next Steps</w:t>
      </w:r>
    </w:p>
    <w:p>
      <w:pPr>
        <w:spacing w:after="60"/>
      </w:pPr>
      <w:r>
        <w:t>Complete and freeze the repository OpenAPI contract for all production routes.</w:t>
      </w:r>
    </w:p>
    <w:p>
      <w:pPr>
        <w:spacing w:after="60"/>
      </w:pPr>
      <w:r>
        <w:t>Implement component interfaces with injected payment and SMTP adapters so external services can be stubbed in tests.</w:t>
      </w:r>
    </w:p>
    <w:p>
      <w:pPr>
        <w:spacing w:after="60"/>
      </w:pPr>
      <w:r>
        <w:t>Generate final UML diagrams in the team's chosen modelling tool if editable diagram source files are required.</w:t>
      </w:r>
    </w:p>
    <w:p>
      <w:pPr>
        <w:spacing w:after="60"/>
      </w:pPr>
      <w:r>
        <w:t>Complete the security review against OWASP Top 10 before demonstration.</w:t>
      </w:r>
    </w:p>
    <w:p>
      <w:pPr>
        <w:spacing w:after="60"/>
      </w:pPr>
      <w:r>
        <w:t>Run the 200-concurrent-user search test and verify the 2-second 95th-percentile target.</w:t>
      </w:r>
    </w:p>
    <w:p>
      <w:pPr>
        <w:spacing w:after="60"/>
      </w:pPr>
      <w:r>
        <w:t>Run the concurrent last-copy purchase test to demonstrate atomic stock handling.</w:t>
      </w:r>
    </w:p>
    <w:p>
      <w:pPr>
        <w:spacing w:after="60"/>
      </w:pPr>
      <w:r>
        <w:t>Complete cross-browser regression and accessibility walkthrough.</w:t>
      </w:r>
    </w:p>
    <w:p>
      <w:pPr>
        <w:spacing w:after="60"/>
      </w:pPr>
      <w:r>
        <w:t>Rehearse the database restore once before the final demonstration.</w:t>
      </w:r>
    </w:p>
    <w:p>
      <w:r>
        <w:br w:type="page"/>
      </w:r>
    </w:p>
    <w:p>
      <w:pPr>
        <w:pStyle w:val="Heading1"/>
        <w:spacing w:before="160" w:after="80"/>
      </w:pPr>
      <w:r>
        <w:t>5. Appendices</w:t>
      </w:r>
    </w:p>
    <w:p>
      <w:pPr>
        <w:pStyle w:val="Heading2"/>
        <w:spacing w:before="100" w:after="80"/>
      </w:pPr>
      <w:r>
        <w:t>5.1 Glossary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c>
          <w:tcPr>
            <w:tcW w:type="dxa" w:w="4824"/>
            <w:vAlign w:val="center"/>
            <w:shd w:fill="D9EAF7"/>
          </w:tcPr>
          <w:p>
            <w:pPr>
              <w:spacing w:after="0"/>
            </w:pPr>
            <w:r/>
            <w:r>
              <w:rPr>
                <w:rFonts w:ascii="Calibri" w:hAnsi="Calibri"/>
                <w:b/>
                <w:sz w:val="17"/>
              </w:rPr>
              <w:t>Term</w:t>
            </w:r>
          </w:p>
        </w:tc>
        <w:tc>
          <w:tcPr>
            <w:tcW w:type="dxa" w:w="4824"/>
            <w:vAlign w:val="center"/>
            <w:shd w:fill="D9EAF7"/>
          </w:tcPr>
          <w:p>
            <w:pPr>
              <w:spacing w:after="0"/>
            </w:pPr>
            <w:r/>
            <w:r>
              <w:rPr>
                <w:rFonts w:ascii="Calibri" w:hAnsi="Calibri"/>
                <w:b/>
                <w:sz w:val="17"/>
              </w:rPr>
              <w:t>Meaning</w:t>
            </w:r>
          </w:p>
        </w:tc>
      </w:tr>
      <w:tr>
        <w:tc>
          <w:tcPr>
            <w:tcW w:type="dxa" w:w="4824"/>
            <w:vAlign w:val="center"/>
          </w:tcPr>
          <w:p>
            <w:pPr>
              <w:spacing w:after="0"/>
            </w:pPr>
            <w:r/>
            <w:r>
              <w:rPr>
                <w:rFonts w:ascii="Calibri" w:hAnsi="Calibri"/>
                <w:b w:val="0"/>
                <w:sz w:val="17"/>
              </w:rPr>
              <w:t>BOOK</w:t>
            </w:r>
          </w:p>
        </w:tc>
        <w:tc>
          <w:tcPr>
            <w:tcW w:type="dxa" w:w="4824"/>
            <w:vAlign w:val="center"/>
          </w:tcPr>
          <w:p>
            <w:pPr>
              <w:spacing w:after="0"/>
            </w:pPr>
            <w:r/>
            <w:r>
              <w:rPr>
                <w:rFonts w:ascii="Calibri" w:hAnsi="Calibri"/>
                <w:b w:val="0"/>
                <w:sz w:val="17"/>
              </w:rPr>
              <w:t>Catalogue title identified independently of a seller.</w:t>
            </w:r>
          </w:p>
        </w:tc>
      </w:tr>
      <w:tr>
        <w:tc>
          <w:tcPr>
            <w:tcW w:type="dxa" w:w="4824"/>
            <w:vAlign w:val="center"/>
          </w:tcPr>
          <w:p>
            <w:pPr>
              <w:spacing w:after="0"/>
            </w:pPr>
            <w:r/>
            <w:r>
              <w:rPr>
                <w:rFonts w:ascii="Calibri" w:hAnsi="Calibri"/>
                <w:b w:val="0"/>
                <w:sz w:val="17"/>
              </w:rPr>
              <w:t>LISTING</w:t>
            </w:r>
          </w:p>
        </w:tc>
        <w:tc>
          <w:tcPr>
            <w:tcW w:type="dxa" w:w="4824"/>
            <w:vAlign w:val="center"/>
          </w:tcPr>
          <w:p>
            <w:pPr>
              <w:spacing w:after="0"/>
            </w:pPr>
            <w:r/>
            <w:r>
              <w:rPr>
                <w:rFonts w:ascii="Calibri" w:hAnsi="Calibri"/>
                <w:b w:val="0"/>
                <w:sz w:val="17"/>
              </w:rPr>
              <w:t>Seller-specific offer of a title, carrying condition, price and stock.</w:t>
            </w:r>
          </w:p>
        </w:tc>
      </w:tr>
      <w:tr>
        <w:tc>
          <w:tcPr>
            <w:tcW w:type="dxa" w:w="4824"/>
            <w:vAlign w:val="center"/>
          </w:tcPr>
          <w:p>
            <w:pPr>
              <w:spacing w:after="0"/>
            </w:pPr>
            <w:r/>
            <w:r>
              <w:rPr>
                <w:rFonts w:ascii="Calibri" w:hAnsi="Calibri"/>
                <w:b w:val="0"/>
                <w:sz w:val="17"/>
              </w:rPr>
              <w:t>ORDER</w:t>
            </w:r>
          </w:p>
        </w:tc>
        <w:tc>
          <w:tcPr>
            <w:tcW w:type="dxa" w:w="4824"/>
            <w:vAlign w:val="center"/>
          </w:tcPr>
          <w:p>
            <w:pPr>
              <w:spacing w:after="0"/>
            </w:pPr>
            <w:r/>
            <w:r>
              <w:rPr>
                <w:rFonts w:ascii="Calibri" w:hAnsi="Calibri"/>
                <w:b w:val="0"/>
                <w:sz w:val="17"/>
              </w:rPr>
              <w:t>Purchase record containing the order summary and lifecycle state.</w:t>
            </w:r>
          </w:p>
        </w:tc>
      </w:tr>
      <w:tr>
        <w:tc>
          <w:tcPr>
            <w:tcW w:type="dxa" w:w="4824"/>
            <w:vAlign w:val="center"/>
          </w:tcPr>
          <w:p>
            <w:pPr>
              <w:spacing w:after="0"/>
            </w:pPr>
            <w:r/>
            <w:r>
              <w:rPr>
                <w:rFonts w:ascii="Calibri" w:hAnsi="Calibri"/>
                <w:b w:val="0"/>
                <w:sz w:val="17"/>
              </w:rPr>
              <w:t>ORDER_ITEM</w:t>
            </w:r>
          </w:p>
        </w:tc>
        <w:tc>
          <w:tcPr>
            <w:tcW w:type="dxa" w:w="4824"/>
            <w:vAlign w:val="center"/>
          </w:tcPr>
          <w:p>
            <w:pPr>
              <w:spacing w:after="0"/>
            </w:pPr>
            <w:r/>
            <w:r>
              <w:rPr>
                <w:rFonts w:ascii="Calibri" w:hAnsi="Calibri"/>
                <w:b w:val="0"/>
                <w:sz w:val="17"/>
              </w:rPr>
              <w:t>Order line that freezes the unit price at purchase time.</w:t>
            </w:r>
          </w:p>
        </w:tc>
      </w:tr>
      <w:tr>
        <w:tc>
          <w:tcPr>
            <w:tcW w:type="dxa" w:w="4824"/>
            <w:vAlign w:val="center"/>
          </w:tcPr>
          <w:p>
            <w:pPr>
              <w:spacing w:after="0"/>
            </w:pPr>
            <w:r/>
            <w:r>
              <w:rPr>
                <w:rFonts w:ascii="Calibri" w:hAnsi="Calibri"/>
                <w:b w:val="0"/>
                <w:sz w:val="17"/>
              </w:rPr>
              <w:t>RBAC</w:t>
            </w:r>
          </w:p>
        </w:tc>
        <w:tc>
          <w:tcPr>
            <w:tcW w:type="dxa" w:w="4824"/>
            <w:vAlign w:val="center"/>
          </w:tcPr>
          <w:p>
            <w:pPr>
              <w:spacing w:after="0"/>
            </w:pPr>
            <w:r/>
            <w:r>
              <w:rPr>
                <w:rFonts w:ascii="Calibri" w:hAnsi="Calibri"/>
                <w:b w:val="0"/>
                <w:sz w:val="17"/>
              </w:rPr>
              <w:t>Role-Based Access Control used to restrict protected routes.</w:t>
            </w:r>
          </w:p>
        </w:tc>
      </w:tr>
      <w:tr>
        <w:tc>
          <w:tcPr>
            <w:tcW w:type="dxa" w:w="4824"/>
            <w:vAlign w:val="center"/>
          </w:tcPr>
          <w:p>
            <w:pPr>
              <w:spacing w:after="0"/>
            </w:pPr>
            <w:r/>
            <w:r>
              <w:rPr>
                <w:rFonts w:ascii="Calibri" w:hAnsi="Calibri"/>
                <w:b w:val="0"/>
                <w:sz w:val="17"/>
              </w:rPr>
              <w:t>JWT</w:t>
            </w:r>
          </w:p>
        </w:tc>
        <w:tc>
          <w:tcPr>
            <w:tcW w:type="dxa" w:w="4824"/>
            <w:vAlign w:val="center"/>
          </w:tcPr>
          <w:p>
            <w:pPr>
              <w:spacing w:after="0"/>
            </w:pPr>
            <w:r/>
            <w:r>
              <w:rPr>
                <w:rFonts w:ascii="Calibri" w:hAnsi="Calibri"/>
                <w:b w:val="0"/>
                <w:sz w:val="17"/>
              </w:rPr>
              <w:t>JSON Web Token used for authenticated access.</w:t>
            </w:r>
          </w:p>
        </w:tc>
      </w:tr>
      <w:tr>
        <w:tc>
          <w:tcPr>
            <w:tcW w:type="dxa" w:w="4824"/>
            <w:vAlign w:val="center"/>
          </w:tcPr>
          <w:p>
            <w:pPr>
              <w:spacing w:after="0"/>
            </w:pPr>
            <w:r/>
            <w:r>
              <w:rPr>
                <w:rFonts w:ascii="Calibri" w:hAnsi="Calibri"/>
                <w:b w:val="0"/>
                <w:sz w:val="17"/>
              </w:rPr>
              <w:t>OTP</w:t>
            </w:r>
          </w:p>
        </w:tc>
        <w:tc>
          <w:tcPr>
            <w:tcW w:type="dxa" w:w="4824"/>
            <w:vAlign w:val="center"/>
          </w:tcPr>
          <w:p>
            <w:pPr>
              <w:spacing w:after="0"/>
            </w:pPr>
            <w:r/>
            <w:r>
              <w:rPr>
                <w:rFonts w:ascii="Calibri" w:hAnsi="Calibri"/>
                <w:b w:val="0"/>
                <w:sz w:val="17"/>
              </w:rPr>
              <w:t>Six-digit one-time password used for e-mail verification.</w:t>
            </w:r>
          </w:p>
        </w:tc>
      </w:tr>
      <w:tr>
        <w:tc>
          <w:tcPr>
            <w:tcW w:type="dxa" w:w="4824"/>
            <w:vAlign w:val="center"/>
          </w:tcPr>
          <w:p>
            <w:pPr>
              <w:spacing w:after="0"/>
            </w:pPr>
            <w:r/>
            <w:r>
              <w:rPr>
                <w:rFonts w:ascii="Calibri" w:hAnsi="Calibri"/>
                <w:b w:val="0"/>
                <w:sz w:val="17"/>
              </w:rPr>
              <w:t>NFR</w:t>
            </w:r>
          </w:p>
        </w:tc>
        <w:tc>
          <w:tcPr>
            <w:tcW w:type="dxa" w:w="4824"/>
            <w:vAlign w:val="center"/>
          </w:tcPr>
          <w:p>
            <w:pPr>
              <w:spacing w:after="0"/>
            </w:pPr>
            <w:r/>
            <w:r>
              <w:rPr>
                <w:rFonts w:ascii="Calibri" w:hAnsi="Calibri"/>
                <w:b w:val="0"/>
                <w:sz w:val="17"/>
              </w:rPr>
              <w:t>Non-functional requirement such as performance, security or usability.</w:t>
            </w:r>
          </w:p>
        </w:tc>
      </w:tr>
      <w:tr>
        <w:tc>
          <w:tcPr>
            <w:tcW w:type="dxa" w:w="4824"/>
            <w:vAlign w:val="center"/>
          </w:tcPr>
          <w:p>
            <w:pPr>
              <w:spacing w:after="0"/>
            </w:pPr>
            <w:r/>
            <w:r>
              <w:rPr>
                <w:rFonts w:ascii="Calibri" w:hAnsi="Calibri"/>
                <w:b w:val="0"/>
                <w:sz w:val="17"/>
              </w:rPr>
              <w:t>RTM</w:t>
            </w:r>
          </w:p>
        </w:tc>
        <w:tc>
          <w:tcPr>
            <w:tcW w:type="dxa" w:w="4824"/>
            <w:vAlign w:val="center"/>
          </w:tcPr>
          <w:p>
            <w:pPr>
              <w:spacing w:after="0"/>
            </w:pPr>
            <w:r/>
            <w:r>
              <w:rPr>
                <w:rFonts w:ascii="Calibri" w:hAnsi="Calibri"/>
                <w:b w:val="0"/>
                <w:sz w:val="17"/>
              </w:rPr>
              <w:t>Requirement Traceability Matrix connecting requirements to architecture, code and tests.</w:t>
            </w:r>
          </w:p>
        </w:tc>
      </w:tr>
    </w:tbl>
    <w:p>
      <w:pPr>
        <w:spacing w:after="0"/>
      </w:pPr>
    </w:p>
    <w:p>
      <w:pPr>
        <w:pStyle w:val="Heading2"/>
        <w:spacing w:before="100" w:after="80"/>
      </w:pPr>
      <w:r>
        <w:t>5.2 Requirement-to-Design Traceability Extract</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7"/>
              </w:rPr>
              <w:t>Requirement range</w:t>
            </w:r>
          </w:p>
        </w:tc>
        <w:tc>
          <w:tcPr>
            <w:tcW w:type="dxa" w:w="3216"/>
            <w:vAlign w:val="center"/>
            <w:shd w:fill="D9EAF7"/>
          </w:tcPr>
          <w:p>
            <w:pPr>
              <w:spacing w:after="0"/>
            </w:pPr>
            <w:r/>
            <w:r>
              <w:rPr>
                <w:rFonts w:ascii="Calibri" w:hAnsi="Calibri"/>
                <w:b/>
                <w:sz w:val="17"/>
              </w:rPr>
              <w:t>Primary design reference</w:t>
            </w:r>
          </w:p>
        </w:tc>
        <w:tc>
          <w:tcPr>
            <w:tcW w:type="dxa" w:w="3216"/>
            <w:vAlign w:val="center"/>
            <w:shd w:fill="D9EAF7"/>
          </w:tcPr>
          <w:p>
            <w:pPr>
              <w:spacing w:after="0"/>
            </w:pPr>
            <w:r/>
            <w:r>
              <w:rPr>
                <w:rFonts w:ascii="Calibri" w:hAnsi="Calibri"/>
                <w:b/>
                <w:sz w:val="17"/>
              </w:rPr>
              <w:t>System test coverage</w:t>
            </w:r>
          </w:p>
        </w:tc>
      </w:tr>
      <w:tr>
        <w:tc>
          <w:tcPr>
            <w:tcW w:type="dxa" w:w="3216"/>
            <w:vAlign w:val="center"/>
          </w:tcPr>
          <w:p>
            <w:pPr>
              <w:spacing w:after="0"/>
            </w:pPr>
            <w:r/>
            <w:r>
              <w:rPr>
                <w:rFonts w:ascii="Calibri" w:hAnsi="Calibri"/>
                <w:b w:val="0"/>
                <w:sz w:val="17"/>
              </w:rPr>
              <w:t>FR-01–FR-06</w:t>
            </w:r>
          </w:p>
        </w:tc>
        <w:tc>
          <w:tcPr>
            <w:tcW w:type="dxa" w:w="3216"/>
            <w:vAlign w:val="center"/>
          </w:tcPr>
          <w:p>
            <w:pPr>
              <w:spacing w:after="0"/>
            </w:pPr>
            <w:r/>
            <w:r>
              <w:rPr>
                <w:rFonts w:ascii="Calibri" w:hAnsi="Calibri"/>
                <w:b w:val="0"/>
                <w:sz w:val="17"/>
              </w:rPr>
              <w:t>Auth &amp; User Service</w:t>
            </w:r>
          </w:p>
        </w:tc>
        <w:tc>
          <w:tcPr>
            <w:tcW w:type="dxa" w:w="3216"/>
            <w:vAlign w:val="center"/>
          </w:tcPr>
          <w:p>
            <w:pPr>
              <w:spacing w:after="0"/>
            </w:pPr>
            <w:r/>
            <w:r>
              <w:rPr>
                <w:rFonts w:ascii="Calibri" w:hAnsi="Calibri"/>
                <w:b w:val="0"/>
                <w:sz w:val="17"/>
              </w:rPr>
              <w:t>STC-01 to STC-03</w:t>
            </w:r>
          </w:p>
        </w:tc>
      </w:tr>
      <w:tr>
        <w:tc>
          <w:tcPr>
            <w:tcW w:type="dxa" w:w="3216"/>
            <w:vAlign w:val="center"/>
          </w:tcPr>
          <w:p>
            <w:pPr>
              <w:spacing w:after="0"/>
            </w:pPr>
            <w:r/>
            <w:r>
              <w:rPr>
                <w:rFonts w:ascii="Calibri" w:hAnsi="Calibri"/>
                <w:b w:val="0"/>
                <w:sz w:val="17"/>
              </w:rPr>
              <w:t>FR-07–FR-12</w:t>
            </w:r>
          </w:p>
        </w:tc>
        <w:tc>
          <w:tcPr>
            <w:tcW w:type="dxa" w:w="3216"/>
            <w:vAlign w:val="center"/>
          </w:tcPr>
          <w:p>
            <w:pPr>
              <w:spacing w:after="0"/>
            </w:pPr>
            <w:r/>
            <w:r>
              <w:rPr>
                <w:rFonts w:ascii="Calibri" w:hAnsi="Calibri"/>
                <w:b w:val="0"/>
                <w:sz w:val="17"/>
              </w:rPr>
              <w:t>Catalogue Service</w:t>
            </w:r>
          </w:p>
        </w:tc>
        <w:tc>
          <w:tcPr>
            <w:tcW w:type="dxa" w:w="3216"/>
            <w:vAlign w:val="center"/>
          </w:tcPr>
          <w:p>
            <w:pPr>
              <w:spacing w:after="0"/>
            </w:pPr>
            <w:r/>
            <w:r>
              <w:rPr>
                <w:rFonts w:ascii="Calibri" w:hAnsi="Calibri"/>
                <w:b w:val="0"/>
                <w:sz w:val="17"/>
              </w:rPr>
              <w:t>STC-04 to STC-06</w:t>
            </w:r>
          </w:p>
        </w:tc>
      </w:tr>
      <w:tr>
        <w:tc>
          <w:tcPr>
            <w:tcW w:type="dxa" w:w="3216"/>
            <w:vAlign w:val="center"/>
          </w:tcPr>
          <w:p>
            <w:pPr>
              <w:spacing w:after="0"/>
            </w:pPr>
            <w:r/>
            <w:r>
              <w:rPr>
                <w:rFonts w:ascii="Calibri" w:hAnsi="Calibri"/>
                <w:b w:val="0"/>
                <w:sz w:val="17"/>
              </w:rPr>
              <w:t>FR-13–FR-18</w:t>
            </w:r>
          </w:p>
        </w:tc>
        <w:tc>
          <w:tcPr>
            <w:tcW w:type="dxa" w:w="3216"/>
            <w:vAlign w:val="center"/>
          </w:tcPr>
          <w:p>
            <w:pPr>
              <w:spacing w:after="0"/>
            </w:pPr>
            <w:r/>
            <w:r>
              <w:rPr>
                <w:rFonts w:ascii="Calibri" w:hAnsi="Calibri"/>
                <w:b w:val="0"/>
                <w:sz w:val="17"/>
              </w:rPr>
              <w:t>Cart &amp; Order Service</w:t>
            </w:r>
          </w:p>
        </w:tc>
        <w:tc>
          <w:tcPr>
            <w:tcW w:type="dxa" w:w="3216"/>
            <w:vAlign w:val="center"/>
          </w:tcPr>
          <w:p>
            <w:pPr>
              <w:spacing w:after="0"/>
            </w:pPr>
            <w:r/>
            <w:r>
              <w:rPr>
                <w:rFonts w:ascii="Calibri" w:hAnsi="Calibri"/>
                <w:b w:val="0"/>
                <w:sz w:val="17"/>
              </w:rPr>
              <w:t>STC-07 to STC-09</w:t>
            </w:r>
          </w:p>
        </w:tc>
      </w:tr>
      <w:tr>
        <w:tc>
          <w:tcPr>
            <w:tcW w:type="dxa" w:w="3216"/>
            <w:vAlign w:val="center"/>
          </w:tcPr>
          <w:p>
            <w:pPr>
              <w:spacing w:after="0"/>
            </w:pPr>
            <w:r/>
            <w:r>
              <w:rPr>
                <w:rFonts w:ascii="Calibri" w:hAnsi="Calibri"/>
                <w:b w:val="0"/>
                <w:sz w:val="17"/>
              </w:rPr>
              <w:t>FR-19–FR-24</w:t>
            </w:r>
          </w:p>
        </w:tc>
        <w:tc>
          <w:tcPr>
            <w:tcW w:type="dxa" w:w="3216"/>
            <w:vAlign w:val="center"/>
          </w:tcPr>
          <w:p>
            <w:pPr>
              <w:spacing w:after="0"/>
            </w:pPr>
            <w:r/>
            <w:r>
              <w:rPr>
                <w:rFonts w:ascii="Calibri" w:hAnsi="Calibri"/>
                <w:b w:val="0"/>
                <w:sz w:val="17"/>
              </w:rPr>
              <w:t>Seller &amp; Admin Service</w:t>
            </w:r>
          </w:p>
        </w:tc>
        <w:tc>
          <w:tcPr>
            <w:tcW w:type="dxa" w:w="3216"/>
            <w:vAlign w:val="center"/>
          </w:tcPr>
          <w:p>
            <w:pPr>
              <w:spacing w:after="0"/>
            </w:pPr>
            <w:r/>
            <w:r>
              <w:rPr>
                <w:rFonts w:ascii="Calibri" w:hAnsi="Calibri"/>
                <w:b w:val="0"/>
                <w:sz w:val="17"/>
              </w:rPr>
              <w:t>STC-10 to STC-12</w:t>
            </w:r>
          </w:p>
        </w:tc>
      </w:tr>
      <w:tr>
        <w:tc>
          <w:tcPr>
            <w:tcW w:type="dxa" w:w="3216"/>
            <w:vAlign w:val="center"/>
          </w:tcPr>
          <w:p>
            <w:pPr>
              <w:spacing w:after="0"/>
            </w:pPr>
            <w:r/>
            <w:r>
              <w:rPr>
                <w:rFonts w:ascii="Calibri" w:hAnsi="Calibri"/>
                <w:b w:val="0"/>
                <w:sz w:val="17"/>
              </w:rPr>
              <w:t>NFR-01–NFR-02</w:t>
            </w:r>
          </w:p>
        </w:tc>
        <w:tc>
          <w:tcPr>
            <w:tcW w:type="dxa" w:w="3216"/>
            <w:vAlign w:val="center"/>
          </w:tcPr>
          <w:p>
            <w:pPr>
              <w:spacing w:after="0"/>
            </w:pPr>
            <w:r/>
            <w:r>
              <w:rPr>
                <w:rFonts w:ascii="Calibri" w:hAnsi="Calibri"/>
                <w:b w:val="0"/>
                <w:sz w:val="17"/>
              </w:rPr>
              <w:t>Catalogue/Redis + monitoring</w:t>
            </w:r>
          </w:p>
        </w:tc>
        <w:tc>
          <w:tcPr>
            <w:tcW w:type="dxa" w:w="3216"/>
            <w:vAlign w:val="center"/>
          </w:tcPr>
          <w:p>
            <w:pPr>
              <w:spacing w:after="0"/>
            </w:pPr>
            <w:r/>
            <w:r>
              <w:rPr>
                <w:rFonts w:ascii="Calibri" w:hAnsi="Calibri"/>
                <w:b w:val="0"/>
                <w:sz w:val="17"/>
              </w:rPr>
              <w:t>STC-13</w:t>
            </w:r>
          </w:p>
        </w:tc>
      </w:tr>
      <w:tr>
        <w:tc>
          <w:tcPr>
            <w:tcW w:type="dxa" w:w="3216"/>
            <w:vAlign w:val="center"/>
          </w:tcPr>
          <w:p>
            <w:pPr>
              <w:spacing w:after="0"/>
            </w:pPr>
            <w:r/>
            <w:r>
              <w:rPr>
                <w:rFonts w:ascii="Calibri" w:hAnsi="Calibri"/>
                <w:b w:val="0"/>
                <w:sz w:val="17"/>
              </w:rPr>
              <w:t>NFR-03–NFR-04</w:t>
            </w:r>
          </w:p>
        </w:tc>
        <w:tc>
          <w:tcPr>
            <w:tcW w:type="dxa" w:w="3216"/>
            <w:vAlign w:val="center"/>
          </w:tcPr>
          <w:p>
            <w:pPr>
              <w:spacing w:after="0"/>
            </w:pPr>
            <w:r/>
            <w:r>
              <w:rPr>
                <w:rFonts w:ascii="Calibri" w:hAnsi="Calibri"/>
                <w:b w:val="0"/>
                <w:sz w:val="17"/>
              </w:rPr>
              <w:t>Security + React UX</w:t>
            </w:r>
          </w:p>
        </w:tc>
        <w:tc>
          <w:tcPr>
            <w:tcW w:type="dxa" w:w="3216"/>
            <w:vAlign w:val="center"/>
          </w:tcPr>
          <w:p>
            <w:pPr>
              <w:spacing w:after="0"/>
            </w:pPr>
            <w:r/>
            <w:r>
              <w:rPr>
                <w:rFonts w:ascii="Calibri" w:hAnsi="Calibri"/>
                <w:b w:val="0"/>
                <w:sz w:val="17"/>
              </w:rPr>
              <w:t>STC-14</w:t>
            </w:r>
          </w:p>
        </w:tc>
      </w:tr>
      <w:tr>
        <w:tc>
          <w:tcPr>
            <w:tcW w:type="dxa" w:w="3216"/>
            <w:vAlign w:val="center"/>
          </w:tcPr>
          <w:p>
            <w:pPr>
              <w:spacing w:after="0"/>
            </w:pPr>
            <w:r/>
            <w:r>
              <w:rPr>
                <w:rFonts w:ascii="Calibri" w:hAnsi="Calibri"/>
                <w:b w:val="0"/>
                <w:sz w:val="17"/>
              </w:rPr>
              <w:t>NFR-05–NFR-06</w:t>
            </w:r>
          </w:p>
        </w:tc>
        <w:tc>
          <w:tcPr>
            <w:tcW w:type="dxa" w:w="3216"/>
            <w:vAlign w:val="center"/>
          </w:tcPr>
          <w:p>
            <w:pPr>
              <w:spacing w:after="0"/>
            </w:pPr>
            <w:r/>
            <w:r>
              <w:rPr>
                <w:rFonts w:ascii="Calibri" w:hAnsi="Calibri"/>
                <w:b w:val="0"/>
                <w:sz w:val="17"/>
              </w:rPr>
              <w:t>Order persistence + CI</w:t>
            </w:r>
          </w:p>
        </w:tc>
        <w:tc>
          <w:tcPr>
            <w:tcW w:type="dxa" w:w="3216"/>
            <w:vAlign w:val="center"/>
          </w:tcPr>
          <w:p>
            <w:pPr>
              <w:spacing w:after="0"/>
            </w:pPr>
            <w:r/>
            <w:r>
              <w:rPr>
                <w:rFonts w:ascii="Calibri" w:hAnsi="Calibri"/>
                <w:b w:val="0"/>
                <w:sz w:val="17"/>
              </w:rPr>
              <w:t>STC-15</w:t>
            </w:r>
          </w:p>
        </w:tc>
      </w:tr>
      <w:tr>
        <w:tc>
          <w:tcPr>
            <w:tcW w:type="dxa" w:w="3216"/>
            <w:vAlign w:val="center"/>
          </w:tcPr>
          <w:p>
            <w:pPr>
              <w:spacing w:after="0"/>
            </w:pPr>
            <w:r/>
            <w:r>
              <w:rPr>
                <w:rFonts w:ascii="Calibri" w:hAnsi="Calibri"/>
                <w:b w:val="0"/>
                <w:sz w:val="17"/>
              </w:rPr>
              <w:t>NFR-07–NFR-08</w:t>
            </w:r>
          </w:p>
        </w:tc>
        <w:tc>
          <w:tcPr>
            <w:tcW w:type="dxa" w:w="3216"/>
            <w:vAlign w:val="center"/>
          </w:tcPr>
          <w:p>
            <w:pPr>
              <w:spacing w:after="0"/>
            </w:pPr>
            <w:r/>
            <w:r>
              <w:rPr>
                <w:rFonts w:ascii="Calibri" w:hAnsi="Calibri"/>
                <w:b w:val="0"/>
                <w:sz w:val="17"/>
              </w:rPr>
              <w:t>React compatibility + Audit Log</w:t>
            </w:r>
          </w:p>
        </w:tc>
        <w:tc>
          <w:tcPr>
            <w:tcW w:type="dxa" w:w="3216"/>
            <w:vAlign w:val="center"/>
          </w:tcPr>
          <w:p>
            <w:pPr>
              <w:spacing w:after="0"/>
            </w:pPr>
            <w:r/>
            <w:r>
              <w:rPr>
                <w:rFonts w:ascii="Calibri" w:hAnsi="Calibri"/>
                <w:b w:val="0"/>
                <w:sz w:val="17"/>
              </w:rPr>
              <w:t>STC-16</w:t>
            </w:r>
          </w:p>
        </w:tc>
      </w:tr>
    </w:tbl>
    <w:p>
      <w:pPr>
        <w:spacing w:after="0"/>
      </w:pPr>
    </w:p>
    <w:p>
      <w:pPr>
        <w:spacing w:after="100" w:line="259" w:lineRule="auto"/>
      </w:pPr>
      <w:r>
        <w:t>The SRS traceability appendix defines sixteen system test cases (STC-01 to STC-16) covering the functional and non-functional requirements. The complete RTM remains the authoritative mapping for code-file and individual test-case references.</w:t>
      </w:r>
    </w:p>
    <w:p>
      <w:pPr>
        <w:pStyle w:val="Heading2"/>
        <w:spacing w:before="100" w:after="80"/>
      </w:pPr>
      <w:r>
        <w:t>5.3 Architecture Decisions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216"/>
        <w:gridCol w:w="3216"/>
        <w:gridCol w:w="3216"/>
      </w:tblGrid>
      <w:tr>
        <w:tc>
          <w:tcPr>
            <w:tcW w:type="dxa" w:w="3216"/>
            <w:vAlign w:val="center"/>
            <w:shd w:fill="D9EAF7"/>
          </w:tcPr>
          <w:p>
            <w:pPr>
              <w:spacing w:after="0"/>
            </w:pPr>
            <w:r/>
            <w:r>
              <w:rPr>
                <w:rFonts w:ascii="Calibri" w:hAnsi="Calibri"/>
                <w:b/>
                <w:sz w:val="16"/>
              </w:rPr>
              <w:t>Decision</w:t>
            </w:r>
          </w:p>
        </w:tc>
        <w:tc>
          <w:tcPr>
            <w:tcW w:type="dxa" w:w="3216"/>
            <w:vAlign w:val="center"/>
            <w:shd w:fill="D9EAF7"/>
          </w:tcPr>
          <w:p>
            <w:pPr>
              <w:spacing w:after="0"/>
            </w:pPr>
            <w:r/>
            <w:r>
              <w:rPr>
                <w:rFonts w:ascii="Calibri" w:hAnsi="Calibri"/>
                <w:b/>
                <w:sz w:val="16"/>
              </w:rPr>
              <w:t>Choice</w:t>
            </w:r>
          </w:p>
        </w:tc>
        <w:tc>
          <w:tcPr>
            <w:tcW w:type="dxa" w:w="3216"/>
            <w:vAlign w:val="center"/>
            <w:shd w:fill="D9EAF7"/>
          </w:tcPr>
          <w:p>
            <w:pPr>
              <w:spacing w:after="0"/>
            </w:pPr>
            <w:r/>
            <w:r>
              <w:rPr>
                <w:rFonts w:ascii="Calibri" w:hAnsi="Calibri"/>
                <w:b/>
                <w:sz w:val="16"/>
              </w:rPr>
              <w:t>Rationale</w:t>
            </w:r>
          </w:p>
        </w:tc>
      </w:tr>
      <w:tr>
        <w:tc>
          <w:tcPr>
            <w:tcW w:type="dxa" w:w="3216"/>
            <w:vAlign w:val="center"/>
          </w:tcPr>
          <w:p>
            <w:pPr>
              <w:spacing w:after="0"/>
            </w:pPr>
            <w:r/>
            <w:r>
              <w:rPr>
                <w:rFonts w:ascii="Calibri" w:hAnsi="Calibri"/>
                <w:b w:val="0"/>
                <w:sz w:val="16"/>
              </w:rPr>
              <w:t>AD-01</w:t>
            </w:r>
          </w:p>
        </w:tc>
        <w:tc>
          <w:tcPr>
            <w:tcW w:type="dxa" w:w="3216"/>
            <w:vAlign w:val="center"/>
          </w:tcPr>
          <w:p>
            <w:pPr>
              <w:spacing w:after="0"/>
            </w:pPr>
            <w:r/>
            <w:r>
              <w:rPr>
                <w:rFonts w:ascii="Calibri" w:hAnsi="Calibri"/>
                <w:b w:val="0"/>
                <w:sz w:val="16"/>
              </w:rPr>
              <w:t>Three-tier layered architecture</w:t>
            </w:r>
          </w:p>
        </w:tc>
        <w:tc>
          <w:tcPr>
            <w:tcW w:type="dxa" w:w="3216"/>
            <w:vAlign w:val="center"/>
          </w:tcPr>
          <w:p>
            <w:pPr>
              <w:spacing w:after="0"/>
            </w:pPr>
            <w:r/>
            <w:r>
              <w:rPr>
                <w:rFonts w:ascii="Calibri" w:hAnsi="Calibri"/>
                <w:b w:val="0"/>
                <w:sz w:val="16"/>
              </w:rPr>
              <w:t>Matches the SRS product perspective and separates presentation, service and persistence responsibilities.</w:t>
            </w:r>
          </w:p>
        </w:tc>
      </w:tr>
      <w:tr>
        <w:tc>
          <w:tcPr>
            <w:tcW w:type="dxa" w:w="3216"/>
            <w:vAlign w:val="center"/>
          </w:tcPr>
          <w:p>
            <w:pPr>
              <w:spacing w:after="0"/>
            </w:pPr>
            <w:r/>
            <w:r>
              <w:rPr>
                <w:rFonts w:ascii="Calibri" w:hAnsi="Calibri"/>
                <w:b w:val="0"/>
                <w:sz w:val="16"/>
              </w:rPr>
              <w:t>AD-02</w:t>
            </w:r>
          </w:p>
        </w:tc>
        <w:tc>
          <w:tcPr>
            <w:tcW w:type="dxa" w:w="3216"/>
            <w:vAlign w:val="center"/>
          </w:tcPr>
          <w:p>
            <w:pPr>
              <w:spacing w:after="0"/>
            </w:pPr>
            <w:r/>
            <w:r>
              <w:rPr>
                <w:rFonts w:ascii="Calibri" w:hAnsi="Calibri"/>
                <w:b w:val="0"/>
                <w:sz w:val="16"/>
              </w:rPr>
              <w:t>Modular service boundaries inside Express</w:t>
            </w:r>
          </w:p>
        </w:tc>
        <w:tc>
          <w:tcPr>
            <w:tcW w:type="dxa" w:w="3216"/>
            <w:vAlign w:val="center"/>
          </w:tcPr>
          <w:p>
            <w:pPr>
              <w:spacing w:after="0"/>
            </w:pPr>
            <w:r/>
            <w:r>
              <w:rPr>
                <w:rFonts w:ascii="Calibri" w:hAnsi="Calibri"/>
                <w:b w:val="0"/>
                <w:sz w:val="16"/>
              </w:rPr>
              <w:t>Keeps the semester-scale deployment simple while isolating authentication, catalogue, order and seller/admin concerns.</w:t>
            </w:r>
          </w:p>
        </w:tc>
      </w:tr>
      <w:tr>
        <w:tc>
          <w:tcPr>
            <w:tcW w:type="dxa" w:w="3216"/>
            <w:vAlign w:val="center"/>
          </w:tcPr>
          <w:p>
            <w:pPr>
              <w:spacing w:after="0"/>
            </w:pPr>
            <w:r/>
            <w:r>
              <w:rPr>
                <w:rFonts w:ascii="Calibri" w:hAnsi="Calibri"/>
                <w:b w:val="0"/>
                <w:sz w:val="16"/>
              </w:rPr>
              <w:t>AD-03</w:t>
            </w:r>
          </w:p>
        </w:tc>
        <w:tc>
          <w:tcPr>
            <w:tcW w:type="dxa" w:w="3216"/>
            <w:vAlign w:val="center"/>
          </w:tcPr>
          <w:p>
            <w:pPr>
              <w:spacing w:after="0"/>
            </w:pPr>
            <w:r/>
            <w:r>
              <w:rPr>
                <w:rFonts w:ascii="Calibri" w:hAnsi="Calibri"/>
                <w:b w:val="0"/>
                <w:sz w:val="16"/>
              </w:rPr>
              <w:t>MongoDB Atlas as primary store</w:t>
            </w:r>
          </w:p>
        </w:tc>
        <w:tc>
          <w:tcPr>
            <w:tcW w:type="dxa" w:w="3216"/>
            <w:vAlign w:val="center"/>
          </w:tcPr>
          <w:p>
            <w:pPr>
              <w:spacing w:after="0"/>
            </w:pPr>
            <w:r/>
            <w:r>
              <w:rPr>
                <w:rFonts w:ascii="Calibri" w:hAnsi="Calibri"/>
                <w:b w:val="0"/>
                <w:sz w:val="16"/>
              </w:rPr>
              <w:t>Matches the fixed MERN stack and the SRS document-oriented collection design.</w:t>
            </w:r>
          </w:p>
        </w:tc>
      </w:tr>
      <w:tr>
        <w:tc>
          <w:tcPr>
            <w:tcW w:type="dxa" w:w="3216"/>
            <w:vAlign w:val="center"/>
          </w:tcPr>
          <w:p>
            <w:pPr>
              <w:spacing w:after="0"/>
            </w:pPr>
            <w:r/>
            <w:r>
              <w:rPr>
                <w:rFonts w:ascii="Calibri" w:hAnsi="Calibri"/>
                <w:b w:val="0"/>
                <w:sz w:val="16"/>
              </w:rPr>
              <w:t>AD-04</w:t>
            </w:r>
          </w:p>
        </w:tc>
        <w:tc>
          <w:tcPr>
            <w:tcW w:type="dxa" w:w="3216"/>
            <w:vAlign w:val="center"/>
          </w:tcPr>
          <w:p>
            <w:pPr>
              <w:spacing w:after="0"/>
            </w:pPr>
            <w:r/>
            <w:r>
              <w:rPr>
                <w:rFonts w:ascii="Calibri" w:hAnsi="Calibri"/>
                <w:b w:val="0"/>
                <w:sz w:val="16"/>
              </w:rPr>
              <w:t>Redis for sessions/cache</w:t>
            </w:r>
          </w:p>
        </w:tc>
        <w:tc>
          <w:tcPr>
            <w:tcW w:type="dxa" w:w="3216"/>
            <w:vAlign w:val="center"/>
          </w:tcPr>
          <w:p>
            <w:pPr>
              <w:spacing w:after="0"/>
            </w:pPr>
            <w:r/>
            <w:r>
              <w:rPr>
                <w:rFonts w:ascii="Calibri" w:hAnsi="Calibri"/>
                <w:b w:val="0"/>
                <w:sz w:val="16"/>
              </w:rPr>
              <w:t>Supports NFR-01 performance and the SRS session/cache design.</w:t>
            </w:r>
          </w:p>
        </w:tc>
      </w:tr>
      <w:tr>
        <w:tc>
          <w:tcPr>
            <w:tcW w:type="dxa" w:w="3216"/>
            <w:vAlign w:val="center"/>
          </w:tcPr>
          <w:p>
            <w:pPr>
              <w:spacing w:after="0"/>
            </w:pPr>
            <w:r/>
            <w:r>
              <w:rPr>
                <w:rFonts w:ascii="Calibri" w:hAnsi="Calibri"/>
                <w:b w:val="0"/>
                <w:sz w:val="16"/>
              </w:rPr>
              <w:t>AD-05</w:t>
            </w:r>
          </w:p>
        </w:tc>
        <w:tc>
          <w:tcPr>
            <w:tcW w:type="dxa" w:w="3216"/>
            <w:vAlign w:val="center"/>
          </w:tcPr>
          <w:p>
            <w:pPr>
              <w:spacing w:after="0"/>
            </w:pPr>
            <w:r/>
            <w:r>
              <w:rPr>
                <w:rFonts w:ascii="Calibri" w:hAnsi="Calibri"/>
                <w:b w:val="0"/>
                <w:sz w:val="16"/>
              </w:rPr>
              <w:t>External payment gateway</w:t>
            </w:r>
          </w:p>
        </w:tc>
        <w:tc>
          <w:tcPr>
            <w:tcW w:type="dxa" w:w="3216"/>
            <w:vAlign w:val="center"/>
          </w:tcPr>
          <w:p>
            <w:pPr>
              <w:spacing w:after="0"/>
            </w:pPr>
            <w:r/>
            <w:r>
              <w:rPr>
                <w:rFonts w:ascii="Calibri" w:hAnsi="Calibri"/>
                <w:b w:val="0"/>
                <w:sz w:val="16"/>
              </w:rPr>
              <w:t>Prevents card data from entering the application and keeps payment handling outside the application trust boundary.</w:t>
            </w:r>
          </w:p>
        </w:tc>
      </w:tr>
      <w:tr>
        <w:tc>
          <w:tcPr>
            <w:tcW w:type="dxa" w:w="3216"/>
            <w:vAlign w:val="center"/>
          </w:tcPr>
          <w:p>
            <w:pPr>
              <w:spacing w:after="0"/>
            </w:pPr>
            <w:r/>
            <w:r>
              <w:rPr>
                <w:rFonts w:ascii="Calibri" w:hAnsi="Calibri"/>
                <w:b w:val="0"/>
                <w:sz w:val="16"/>
              </w:rPr>
              <w:t>AD-06</w:t>
            </w:r>
          </w:p>
        </w:tc>
        <w:tc>
          <w:tcPr>
            <w:tcW w:type="dxa" w:w="3216"/>
            <w:vAlign w:val="center"/>
          </w:tcPr>
          <w:p>
            <w:pPr>
              <w:spacing w:after="0"/>
            </w:pPr>
            <w:r/>
            <w:r>
              <w:rPr>
                <w:rFonts w:ascii="Calibri" w:hAnsi="Calibri"/>
                <w:b w:val="0"/>
                <w:sz w:val="16"/>
              </w:rPr>
              <w:t>SMTP adapter with retry queue</w:t>
            </w:r>
          </w:p>
        </w:tc>
        <w:tc>
          <w:tcPr>
            <w:tcW w:type="dxa" w:w="3216"/>
            <w:vAlign w:val="center"/>
          </w:tcPr>
          <w:p>
            <w:pPr>
              <w:spacing w:after="0"/>
            </w:pPr>
            <w:r/>
            <w:r>
              <w:rPr>
                <w:rFonts w:ascii="Calibri" w:hAnsi="Calibri"/>
                <w:b w:val="0"/>
                <w:sz w:val="16"/>
              </w:rPr>
              <w:t>Provides OTP and transaction notifications while handling temporary delivery failures.</w:t>
            </w:r>
          </w:p>
        </w:tc>
      </w:tr>
      <w:tr>
        <w:tc>
          <w:tcPr>
            <w:tcW w:type="dxa" w:w="3216"/>
            <w:vAlign w:val="center"/>
          </w:tcPr>
          <w:p>
            <w:pPr>
              <w:spacing w:after="0"/>
            </w:pPr>
            <w:r/>
            <w:r>
              <w:rPr>
                <w:rFonts w:ascii="Calibri" w:hAnsi="Calibri"/>
                <w:b w:val="0"/>
                <w:sz w:val="16"/>
              </w:rPr>
              <w:t>AD-07</w:t>
            </w:r>
          </w:p>
        </w:tc>
        <w:tc>
          <w:tcPr>
            <w:tcW w:type="dxa" w:w="3216"/>
            <w:vAlign w:val="center"/>
          </w:tcPr>
          <w:p>
            <w:pPr>
              <w:spacing w:after="0"/>
            </w:pPr>
            <w:r/>
            <w:r>
              <w:rPr>
                <w:rFonts w:ascii="Calibri" w:hAnsi="Calibri"/>
                <w:b w:val="0"/>
                <w:sz w:val="16"/>
              </w:rPr>
              <w:t>Shared React component library</w:t>
            </w:r>
          </w:p>
        </w:tc>
        <w:tc>
          <w:tcPr>
            <w:tcW w:type="dxa" w:w="3216"/>
            <w:vAlign w:val="center"/>
          </w:tcPr>
          <w:p>
            <w:pPr>
              <w:spacing w:after="0"/>
            </w:pPr>
            <w:r/>
            <w:r>
              <w:rPr>
                <w:rFonts w:ascii="Calibri" w:hAnsi="Calibri"/>
                <w:b w:val="0"/>
                <w:sz w:val="16"/>
              </w:rPr>
              <w:t>Supports reusability and consistent buyer/seller/admin UI surfaces.</w:t>
            </w:r>
          </w:p>
        </w:tc>
      </w:tr>
    </w:tbl>
    <w:p>
      <w:pPr>
        <w:spacing w:after="0"/>
      </w:pPr>
    </w:p>
    <w:p>
      <w:pPr>
        <w:pStyle w:val="Heading2"/>
        <w:spacing w:before="100" w:after="80"/>
      </w:pPr>
      <w:r>
        <w:t>5.4 Tools</w:t>
      </w:r>
    </w:p>
    <w:p>
      <w:pPr>
        <w:spacing w:after="60"/>
      </w:pPr>
      <w:r>
        <w:t>Microsoft Word / DOCX for document preparation.</w:t>
      </w:r>
    </w:p>
    <w:p>
      <w:pPr>
        <w:spacing w:after="60"/>
      </w:pPr>
      <w:r>
        <w:t>draw.io or PlantUML for editable UML artefacts, if required by the course.</w:t>
      </w:r>
    </w:p>
    <w:p>
      <w:pPr>
        <w:spacing w:after="60"/>
      </w:pPr>
      <w:r>
        <w:t>OpenAPI/Swagger for REST contract documentation.</w:t>
      </w:r>
    </w:p>
    <w:p>
      <w:pPr>
        <w:spacing w:after="60"/>
      </w:pPr>
      <w:r>
        <w:t>GitHub and CI for version control and quality gates.</w:t>
      </w:r>
    </w:p>
    <w:p>
      <w:r>
        <w:br w:type="page"/>
      </w:r>
    </w:p>
    <w:p>
      <w:pPr>
        <w:pStyle w:val="Heading1"/>
      </w:pPr>
      <w:r>
        <w:t>Appendix - Project Roles and Responsibilities</w:t>
      </w:r>
    </w:p>
    <w:p>
      <w:r>
        <w:t>The following team assignments apply across the Online Bookstore project documents. Requirement ownership in the SRS remains unchanged. The Product Owner / Faculty Reviewer role remains with the course team/faculty.</w:t>
      </w:r>
    </w:p>
    <w:tbl>
      <w:tblPr>
        <w:tblW w:type="auto" w:w="0"/>
        <w:jc w:val="center"/>
        <w:tblLook w:firstColumn="1" w:firstRow="1" w:lastColumn="0" w:lastRow="0" w:noHBand="0" w:noVBand="1" w:val="04A0"/>
      </w:tblPr>
      <w:tblGrid>
        <w:gridCol w:w="3216"/>
        <w:gridCol w:w="3216"/>
        <w:gridCol w:w="3216"/>
      </w:tblGrid>
      <w:tr>
        <w:tc>
          <w:tcPr>
            <w:tcW w:type="dxa" w:w="3216"/>
            <w:vAlign w:val="center"/>
          </w:tcPr>
          <w:p>
            <w:r>
              <w:rPr>
                <w:sz w:val="18"/>
              </w:rPr>
              <w:t>Role</w:t>
            </w:r>
          </w:p>
        </w:tc>
        <w:tc>
          <w:tcPr>
            <w:tcW w:type="dxa" w:w="3216"/>
            <w:vAlign w:val="center"/>
          </w:tcPr>
          <w:p>
            <w:r>
              <w:rPr>
                <w:sz w:val="18"/>
              </w:rPr>
              <w:t>Assigned member</w:t>
            </w:r>
          </w:p>
        </w:tc>
        <w:tc>
          <w:tcPr>
            <w:tcW w:type="dxa" w:w="3216"/>
            <w:vAlign w:val="center"/>
          </w:tcPr>
          <w:p>
            <w:r>
              <w:rPr>
                <w:sz w:val="18"/>
              </w:rPr>
              <w:t>Responsibilities</w:t>
            </w:r>
          </w:p>
        </w:tc>
      </w:tr>
      <w:tr>
        <w:tc>
          <w:tcPr>
            <w:tcW w:type="dxa" w:w="3216"/>
            <w:vAlign w:val="center"/>
          </w:tcPr>
          <w:p>
            <w:r>
              <w:rPr>
                <w:sz w:val="18"/>
              </w:rPr>
              <w:t>QA / Test Lead</w:t>
            </w:r>
          </w:p>
        </w:tc>
        <w:tc>
          <w:tcPr>
            <w:tcW w:type="dxa" w:w="3216"/>
            <w:vAlign w:val="center"/>
          </w:tcPr>
          <w:p>
            <w:r>
              <w:rPr>
                <w:sz w:val="18"/>
              </w:rPr>
              <w:t>Deeptha S</w:t>
            </w:r>
          </w:p>
        </w:tc>
        <w:tc>
          <w:tcPr>
            <w:tcW w:type="dxa" w:w="3216"/>
            <w:vAlign w:val="center"/>
          </w:tcPr>
          <w:p>
            <w:r>
              <w:rPr>
                <w:sz w:val="18"/>
              </w:rPr>
              <w:t>Coordinate test planning and execution, review coverage, consolidate results and track defects.</w:t>
            </w:r>
          </w:p>
        </w:tc>
      </w:tr>
      <w:tr>
        <w:tc>
          <w:tcPr>
            <w:tcW w:type="dxa" w:w="3216"/>
            <w:vAlign w:val="center"/>
          </w:tcPr>
          <w:p>
            <w:r>
              <w:rPr>
                <w:sz w:val="18"/>
              </w:rPr>
              <w:t>Developer / Development Lead</w:t>
            </w:r>
          </w:p>
        </w:tc>
        <w:tc>
          <w:tcPr>
            <w:tcW w:type="dxa" w:w="3216"/>
            <w:vAlign w:val="center"/>
          </w:tcPr>
          <w:p>
            <w:r>
              <w:rPr>
                <w:sz w:val="18"/>
              </w:rPr>
              <w:t>Hardhick M Gowda</w:t>
            </w:r>
          </w:p>
        </w:tc>
        <w:tc>
          <w:tcPr>
            <w:tcW w:type="dxa" w:w="3216"/>
            <w:vAlign w:val="center"/>
          </w:tcPr>
          <w:p>
            <w:r>
              <w:rPr>
                <w:sz w:val="18"/>
              </w:rPr>
              <w:t>Coordinate implementation, support the test environment, analyze defects and provide unit-test evidence.</w:t>
            </w:r>
          </w:p>
        </w:tc>
      </w:tr>
      <w:tr>
        <w:tc>
          <w:tcPr>
            <w:tcW w:type="dxa" w:w="3216"/>
            <w:vAlign w:val="center"/>
          </w:tcPr>
          <w:p>
            <w:r>
              <w:rPr>
                <w:sz w:val="18"/>
              </w:rPr>
              <w:t>Test Engineer</w:t>
            </w:r>
          </w:p>
        </w:tc>
        <w:tc>
          <w:tcPr>
            <w:tcW w:type="dxa" w:w="3216"/>
            <w:vAlign w:val="center"/>
          </w:tcPr>
          <w:p>
            <w:r>
              <w:rPr>
                <w:sz w:val="18"/>
              </w:rPr>
              <w:t>Chenchu Sreekrishna Koushik</w:t>
            </w:r>
          </w:p>
        </w:tc>
        <w:tc>
          <w:tcPr>
            <w:tcW w:type="dxa" w:w="3216"/>
            <w:vAlign w:val="center"/>
          </w:tcPr>
          <w:p>
            <w:r>
              <w:rPr>
                <w:sz w:val="18"/>
              </w:rPr>
              <w:t>Design and execute test cases, record evidence and log defects.</w:t>
            </w:r>
          </w:p>
        </w:tc>
      </w:tr>
      <w:tr>
        <w:tc>
          <w:tcPr>
            <w:tcW w:type="dxa" w:w="3216"/>
            <w:vAlign w:val="center"/>
          </w:tcPr>
          <w:p>
            <w:r>
              <w:rPr>
                <w:sz w:val="18"/>
              </w:rPr>
              <w:t>Requirements &amp; Documentation Coordinator</w:t>
            </w:r>
          </w:p>
        </w:tc>
        <w:tc>
          <w:tcPr>
            <w:tcW w:type="dxa" w:w="3216"/>
            <w:vAlign w:val="center"/>
          </w:tcPr>
          <w:p>
            <w:r>
              <w:rPr>
                <w:sz w:val="18"/>
              </w:rPr>
              <w:t>G H Pramod</w:t>
            </w:r>
          </w:p>
        </w:tc>
        <w:tc>
          <w:tcPr>
            <w:tcW w:type="dxa" w:w="3216"/>
            <w:vAlign w:val="center"/>
          </w:tcPr>
          <w:p>
            <w:r>
              <w:rPr>
                <w:sz w:val="18"/>
              </w:rPr>
              <w:t>Maintain requirements/document consistency, track requirement changes and coordinate project documentation.</w:t>
            </w:r>
          </w:p>
        </w:tc>
      </w:tr>
    </w:tbl>
    <w:sectPr>
      <w:footerReference w:type="default" r:id="rId13"/>
      <w:pgSz w:w="12240" w:h="15840" w:orient="portrait"/>
      <w:pgMar w:top="1080" w:right="1296" w:bottom="1080" w:left="1296"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Online Bookstore SAD - Group 2 | Version 1.0 | </w:t>
    </w:r>
    <w:r>
      <w:rPr>
        <w:sz w:val="16"/>
      </w:rPr>
      <w:fldChar w:fldCharType="begin"/>
      <w:instrText xml:space="preserve">PAGE</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C7815F"/>
  <w15:docId w15:val="{8E59E9C6-40FC-4503-82DD-38A9B3265BE8}"/>
  <w:rsids>
    <w:rsidRoot w:val="0018F523"/>
    <w:rsid w:val="0018F523"/>
    <w:rsid w:val="25164A7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pPr>
      <w:spacing w:after="100"/>
    </w:pPr>
    <w:rPr>
      <w:rFonts w:ascii="Calibri" w:hAnsi="Calibri"/>
      <w:sz w:val="21"/>
    </w:rPr>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hAnsi="Calibri" w:eastAsia="Calibri" w:cs="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E6294EC-51E2-484E-B717-F3B4E390A3B4}"/>
</file>

<file path=customXML/itemProps3.xml><?xml version="1.0" encoding="utf-8"?>
<ds:datastoreItem xmlns:ds="http://schemas.openxmlformats.org/officeDocument/2006/customXml" ds:itemID="{BAC8B11A-D9AB-42ED-ABD0-AB614AD7E838}"/>
</file>

<file path=customXML/itemProps4.xml><?xml version="1.0" encoding="utf-8"?>
<ds:datastoreItem xmlns:ds="http://schemas.openxmlformats.org/officeDocument/2006/customXml" ds:itemID="{D6EE91ED-795F-4B62-8565-9EDA050F1413}"/>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2025-09-09T09:54:00.0000000Z</dcterms:created>
  <lastModifiedBy>RR S&amp;H 2nd Sem P8 GYAAN S SHETTY</lastModifiedBy>
  <dcterms:modified xsi:type="dcterms:W3CDTF">2026-10-02T05:12:50.0708610Z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