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606A78"/>
          <w:sz w:val="24"/>
        </w:rPr>
        <w:t>PES UNIVERSITY</w:t>
      </w:r>
    </w:p>
    <w:p>
      <w:pPr>
        <w:jc w:val="center"/>
      </w:pPr>
      <w:r>
        <w:rPr>
          <w:color w:val="606A78"/>
          <w:sz w:val="21"/>
        </w:rPr>
        <w:t>Software Engineering Mini-Project — Section B</w:t>
      </w:r>
    </w:p>
    <w:p/>
    <w:p>
      <w:pPr>
        <w:jc w:val="center"/>
      </w:pPr>
      <w:r>
        <w:rPr>
          <w:b/>
          <w:color w:val="1F3B63"/>
          <w:sz w:val="56"/>
        </w:rPr>
        <w:t>IT Infrastructure Management Software</w:t>
      </w:r>
    </w:p>
    <w:p>
      <w:pPr>
        <w:jc w:val="center"/>
        <w:pBdr>
          <w:bottom w:val="single" w:sz="10" w:space="4" w:color="1F3B63"/>
        </w:pBdr>
      </w:pPr>
      <w:r>
        <w:rPr>
          <w:color w:val="404A58"/>
          <w:sz w:val="28"/>
        </w:rPr>
        <w:t>Software Requirements Specification (SRS)</w:t>
      </w:r>
    </w:p>
    <w:p/>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2649"/>
        <w:gridCol w:w="6812"/>
      </w:tblGrid>
      <w:tr>
        <w:tc>
          <w:tcPr>
            <w:shd w:val="clear" w:color="auto" w:fill="EEF2F7"/>
            <w:tcW w:w="2649" w:type="dxa"/>
          </w:tcPr>
          <w:p>
            <w:pPr>
              <w:spacing w:after="40"/>
            </w:pPr>
            <w:r>
              <w:rPr>
                <w:b/>
                <w:color w:val="1F3B63"/>
                <w:sz w:val="20"/>
              </w:rPr>
              <w:t>Project</w:t>
            </w:r>
          </w:p>
        </w:tc>
        <w:tc>
          <w:tcPr>
            <w:tcW w:w="6812" w:type="dxa"/>
          </w:tcPr>
          <w:p>
            <w:pPr>
              <w:spacing w:after="40"/>
            </w:pPr>
            <w:r>
              <w:rPr>
                <w:rFonts w:ascii="Calibri" w:hAnsi="Calibri"/>
                <w:b w:val="0"/>
                <w:sz w:val="20"/>
              </w:rPr>
              <w:t>IT Infrastructure Management Software</w:t>
            </w:r>
          </w:p>
        </w:tc>
      </w:tr>
      <w:tr>
        <w:tc>
          <w:tcPr>
            <w:shd w:val="clear" w:color="auto" w:fill="EEF2F7"/>
            <w:tcW w:w="2649" w:type="dxa"/>
          </w:tcPr>
          <w:p>
            <w:pPr>
              <w:spacing w:after="40"/>
            </w:pPr>
            <w:r>
              <w:rPr>
                <w:b/>
                <w:color w:val="1F3B63"/>
                <w:sz w:val="20"/>
              </w:rPr>
              <w:t>Version</w:t>
            </w:r>
          </w:p>
        </w:tc>
        <w:tc>
          <w:tcPr>
            <w:tcW w:w="6812" w:type="dxa"/>
          </w:tcPr>
          <w:p>
            <w:pPr>
              <w:spacing w:after="40"/>
            </w:pPr>
            <w:r>
              <w:rPr>
                <w:rFonts w:ascii="Calibri" w:hAnsi="Calibri"/>
                <w:b w:val="0"/>
                <w:sz w:val="20"/>
              </w:rPr>
              <w:t>2.0</w:t>
            </w:r>
          </w:p>
        </w:tc>
      </w:tr>
      <w:tr>
        <w:tc>
          <w:tcPr>
            <w:shd w:val="clear" w:color="auto" w:fill="EEF2F7"/>
            <w:tcW w:w="2649" w:type="dxa"/>
          </w:tcPr>
          <w:p>
            <w:pPr>
              <w:spacing w:after="40"/>
            </w:pPr>
            <w:r>
              <w:rPr>
                <w:b/>
                <w:color w:val="1F3B63"/>
                <w:sz w:val="20"/>
              </w:rPr>
              <w:t>Authors</w:t>
            </w:r>
          </w:p>
        </w:tc>
        <w:tc>
          <w:tcPr>
            <w:tcW w:w="6812" w:type="dxa"/>
          </w:tcPr>
          <w:p>
            <w:pPr>
              <w:spacing w:after="40"/>
            </w:pPr>
            <w:r>
              <w:rPr>
                <w:rFonts w:ascii="Calibri" w:hAnsi="Calibri"/>
                <w:b w:val="0"/>
                <w:sz w:val="20"/>
              </w:rPr>
              <w:t>Team 03 (SE Project 2026, Section B)</w:t>
            </w:r>
          </w:p>
        </w:tc>
      </w:tr>
      <w:tr>
        <w:tc>
          <w:tcPr>
            <w:shd w:val="clear" w:color="auto" w:fill="EEF2F7"/>
            <w:tcW w:w="2649" w:type="dxa"/>
          </w:tcPr>
          <w:p>
            <w:pPr>
              <w:spacing w:after="40"/>
            </w:pPr>
            <w:r>
              <w:rPr>
                <w:b/>
                <w:color w:val="1F3B63"/>
                <w:sz w:val="20"/>
              </w:rPr>
              <w:t>Date</w:t>
            </w:r>
          </w:p>
        </w:tc>
        <w:tc>
          <w:tcPr>
            <w:tcW w:w="6812" w:type="dxa"/>
          </w:tcPr>
          <w:p>
            <w:pPr>
              <w:spacing w:after="40"/>
            </w:pPr>
            <w:r>
              <w:rPr>
                <w:rFonts w:ascii="Calibri" w:hAnsi="Calibri"/>
                <w:b w:val="0"/>
                <w:sz w:val="20"/>
              </w:rPr>
              <w:t>22-10-2026</w:t>
            </w:r>
          </w:p>
        </w:tc>
      </w:tr>
      <w:tr>
        <w:tc>
          <w:tcPr>
            <w:shd w:val="clear" w:color="auto" w:fill="EEF2F7"/>
            <w:tcW w:w="2649" w:type="dxa"/>
          </w:tcPr>
          <w:p>
            <w:pPr>
              <w:spacing w:after="40"/>
            </w:pPr>
            <w:r>
              <w:rPr>
                <w:b/>
                <w:color w:val="1F3B63"/>
                <w:sz w:val="20"/>
              </w:rPr>
              <w:t>Status</w:t>
            </w:r>
          </w:p>
        </w:tc>
        <w:tc>
          <w:tcPr>
            <w:tcW w:w="6812" w:type="dxa"/>
          </w:tcPr>
          <w:p>
            <w:pPr>
              <w:spacing w:after="40"/>
            </w:pPr>
            <w:r>
              <w:rPr>
                <w:rFonts w:ascii="Calibri" w:hAnsi="Calibri"/>
                <w:b w:val="0"/>
                <w:sz w:val="20"/>
              </w:rPr>
              <w:t>Baseline for evaluation</w:t>
            </w:r>
          </w:p>
        </w:tc>
      </w:tr>
      <w:tr>
        <w:tc>
          <w:tcPr>
            <w:shd w:val="clear" w:color="auto" w:fill="EEF2F7"/>
            <w:tcW w:w="2649" w:type="dxa"/>
          </w:tcPr>
          <w:p>
            <w:pPr>
              <w:spacing w:after="40"/>
            </w:pPr>
            <w:r>
              <w:rPr>
                <w:b/>
                <w:color w:val="1F3B63"/>
                <w:sz w:val="20"/>
              </w:rPr>
              <w:t>Repository</w:t>
            </w:r>
          </w:p>
        </w:tc>
        <w:tc>
          <w:tcPr>
            <w:tcW w:w="6812" w:type="dxa"/>
          </w:tcPr>
          <w:p>
            <w:pPr>
              <w:spacing w:after="40"/>
            </w:pPr>
            <w:hyperlink r:id="rId9">
              <w:r>
                <w:rPr>
                  <w:color w:val="0563C1"/>
                  <w:u w:val="single"/>
                </w:rPr>
                <w:t xml:space="preserve">SE-Project-2026-B-sec/Team-03---IT-infrastructure-management-software</w:t>
              </w:r>
            </w:hyperlink>
          </w:p>
        </w:tc>
      </w:tr>
    </w:tbl>
    <w:p>
      <w:r>
        <w:br w:type="page"/>
      </w:r>
    </w:p>
    <w:p>
      <w:pPr>
        <w:pBdr>
          <w:bottom w:val="single" w:sz="6" w:space="4" w:color="1F3B63"/>
        </w:pBdr>
      </w:pPr>
      <w:r>
        <w:rPr>
          <w:b/>
          <w:color w:val="1F3B63"/>
          <w:sz w:val="32"/>
        </w:rPr>
        <w:t>Table of Contents</w:t>
      </w:r>
    </w:p>
    <w:p>
      <w:r>
        <w:fldChar w:fldCharType="begin"/>
      </w:r>
      <w:r>
        <w:instrText xml:space="preserve"> TOC \o "1-3" \h \z \u </w:instrText>
      </w:r>
      <w:r>
        <w:fldChar w:fldCharType="separate"/>
      </w:r>
      <w:r>
        <w:t>Open in Word and press Ctrl+A then F9 to build the table of contents.</w:t>
      </w:r>
      <w:r>
        <w:fldChar w:fldCharType="end"/>
      </w:r>
    </w:p>
    <w:p>
      <w:r>
        <w:br w:type="page"/>
      </w:r>
    </w:p>
    <w:p>
      <w:pPr>
        <w:pStyle w:val="Heading2"/>
      </w:pPr>
      <w:r>
        <w:rPr>
          <w:rFonts w:ascii="Calibri" w:hAnsi="Calibri"/>
          <w:b/>
          <w:color w:val="1F3B63"/>
        </w:rPr>
        <w:t>Revision history</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20"/>
        <w:gridCol w:w="681"/>
        <w:gridCol w:w="522"/>
        <w:gridCol w:w="7043"/>
        <w:gridCol w:w="695"/>
      </w:tblGrid>
      <w:tr>
        <w:trPr>
          <w:tblHeader w:val="true"/>
        </w:trPr>
        <w:tc>
          <w:tcPr>
            <w:shd w:val="clear" w:color="auto" w:fill="1F3B63"/>
            <w:tcW w:w="520" w:type="dxa"/>
          </w:tcPr>
          <w:p>
            <w:pPr>
              <w:spacing w:after="20" w:before="20"/>
            </w:pPr>
            <w:r>
              <w:rPr>
                <w:b/>
                <w:color w:val="FFFFFF"/>
                <w:sz w:val="18"/>
              </w:rPr>
              <w:t>Version</w:t>
            </w:r>
          </w:p>
        </w:tc>
        <w:tc>
          <w:tcPr>
            <w:shd w:val="clear" w:color="auto" w:fill="1F3B63"/>
            <w:tcW w:w="681" w:type="dxa"/>
          </w:tcPr>
          <w:p>
            <w:pPr>
              <w:spacing w:after="20" w:before="20"/>
            </w:pPr>
            <w:r>
              <w:rPr>
                <w:b/>
                <w:color w:val="FFFFFF"/>
                <w:sz w:val="18"/>
              </w:rPr>
              <w:t>Date</w:t>
            </w:r>
          </w:p>
        </w:tc>
        <w:tc>
          <w:tcPr>
            <w:shd w:val="clear" w:color="auto" w:fill="1F3B63"/>
            <w:tcW w:w="522" w:type="dxa"/>
          </w:tcPr>
          <w:p>
            <w:pPr>
              <w:spacing w:after="20" w:before="20"/>
            </w:pPr>
            <w:r>
              <w:rPr>
                <w:b/>
                <w:color w:val="FFFFFF"/>
                <w:sz w:val="18"/>
              </w:rPr>
              <w:t>Author</w:t>
            </w:r>
          </w:p>
        </w:tc>
        <w:tc>
          <w:tcPr>
            <w:shd w:val="clear" w:color="auto" w:fill="1F3B63"/>
            <w:tcW w:w="7043" w:type="dxa"/>
          </w:tcPr>
          <w:p>
            <w:pPr>
              <w:spacing w:after="20" w:before="20"/>
            </w:pPr>
            <w:r>
              <w:rPr>
                <w:b/>
                <w:color w:val="FFFFFF"/>
                <w:sz w:val="18"/>
              </w:rPr>
              <w:t>Change summary</w:t>
            </w:r>
          </w:p>
        </w:tc>
        <w:tc>
          <w:tcPr>
            <w:shd w:val="clear" w:color="auto" w:fill="1F3B63"/>
            <w:tcW w:w="695" w:type="dxa"/>
          </w:tcPr>
          <w:p>
            <w:pPr>
              <w:spacing w:after="20" w:before="20"/>
            </w:pPr>
            <w:r>
              <w:rPr>
                <w:b/>
                <w:color w:val="FFFFFF"/>
                <w:sz w:val="18"/>
              </w:rPr>
              <w:t>Approval</w:t>
            </w:r>
          </w:p>
        </w:tc>
      </w:tr>
      <w:tr>
        <w:tc>
          <w:tcPr>
            <w:tcW w:w="520" w:type="dxa"/>
          </w:tcPr>
          <w:p>
            <w:pPr>
              <w:spacing w:after="20" w:before="20" w:line="240" w:lineRule="auto"/>
            </w:pPr>
            <w:r>
              <w:rPr>
                <w:rFonts w:ascii="Calibri" w:hAnsi="Calibri"/>
                <w:b w:val="0"/>
                <w:sz w:val="18"/>
              </w:rPr>
              <w:t>1.0</w:t>
            </w:r>
          </w:p>
        </w:tc>
        <w:tc>
          <w:tcPr>
            <w:tcW w:w="681" w:type="dxa"/>
          </w:tcPr>
          <w:p>
            <w:pPr>
              <w:spacing w:after="20" w:before="20" w:line="240" w:lineRule="auto"/>
            </w:pPr>
            <w:r>
              <w:rPr>
                <w:rFonts w:ascii="Calibri" w:hAnsi="Calibri"/>
                <w:b w:val="0"/>
                <w:sz w:val="18"/>
              </w:rPr>
              <w:t>22-10-2026</w:t>
            </w:r>
          </w:p>
        </w:tc>
        <w:tc>
          <w:tcPr>
            <w:tcW w:w="522" w:type="dxa"/>
          </w:tcPr>
          <w:p>
            <w:pPr>
              <w:spacing w:after="20" w:before="20" w:line="240" w:lineRule="auto"/>
            </w:pPr>
            <w:r>
              <w:rPr>
                <w:rFonts w:ascii="Calibri" w:hAnsi="Calibri"/>
                <w:b w:val="0"/>
                <w:sz w:val="18"/>
              </w:rPr>
              <w:t>Team 03</w:t>
            </w:r>
          </w:p>
        </w:tc>
        <w:tc>
          <w:tcPr>
            <w:tcW w:w="7043" w:type="dxa"/>
          </w:tcPr>
          <w:p>
            <w:pPr>
              <w:spacing w:after="20" w:before="20" w:line="240" w:lineRule="auto"/>
            </w:pPr>
            <w:r>
              <w:rPr>
                <w:rFonts w:ascii="Calibri" w:hAnsi="Calibri"/>
                <w:b w:val="0"/>
                <w:sz w:val="18"/>
              </w:rPr>
              <w:t>Initial requirements draft</w:t>
            </w:r>
          </w:p>
        </w:tc>
        <w:tc>
          <w:tcPr>
            <w:tcW w:w="695" w:type="dxa"/>
          </w:tcPr>
          <w:p>
            <w:pPr>
              <w:spacing w:after="20" w:before="20" w:line="240" w:lineRule="auto"/>
            </w:pPr>
            <w:r>
              <w:rPr>
                <w:rFonts w:ascii="Calibri" w:hAnsi="Calibri"/>
                <w:b w:val="0"/>
                <w:sz w:val="18"/>
              </w:rPr>
              <w:t>Superseded</w:t>
            </w:r>
          </w:p>
        </w:tc>
      </w:tr>
      <w:tr>
        <w:tc>
          <w:tcPr>
            <w:shd w:val="clear" w:color="auto" w:fill="F7F9FC"/>
            <w:tcW w:w="520" w:type="dxa"/>
          </w:tcPr>
          <w:p>
            <w:pPr>
              <w:spacing w:after="20" w:before="20" w:line="240" w:lineRule="auto"/>
            </w:pPr>
            <w:r>
              <w:rPr>
                <w:rFonts w:ascii="Calibri" w:hAnsi="Calibri"/>
                <w:b w:val="0"/>
                <w:sz w:val="18"/>
              </w:rPr>
              <w:t>2.0</w:t>
            </w:r>
          </w:p>
        </w:tc>
        <w:tc>
          <w:tcPr>
            <w:shd w:val="clear" w:color="auto" w:fill="F7F9FC"/>
            <w:tcW w:w="681" w:type="dxa"/>
          </w:tcPr>
          <w:p>
            <w:pPr>
              <w:spacing w:after="20" w:before="20" w:line="240" w:lineRule="auto"/>
            </w:pPr>
            <w:r>
              <w:rPr>
                <w:rFonts w:ascii="Calibri" w:hAnsi="Calibri"/>
                <w:b w:val="0"/>
                <w:sz w:val="18"/>
              </w:rPr>
              <w:t>22-10-2026</w:t>
            </w:r>
          </w:p>
        </w:tc>
        <w:tc>
          <w:tcPr>
            <w:shd w:val="clear" w:color="auto" w:fill="F7F9FC"/>
            <w:tcW w:w="522" w:type="dxa"/>
          </w:tcPr>
          <w:p>
            <w:pPr>
              <w:spacing w:after="20" w:before="20" w:line="240" w:lineRule="auto"/>
            </w:pPr>
            <w:r>
              <w:rPr>
                <w:rFonts w:ascii="Calibri" w:hAnsi="Calibri"/>
                <w:b w:val="0"/>
                <w:sz w:val="18"/>
              </w:rPr>
              <w:t>Team 03</w:t>
            </w:r>
          </w:p>
        </w:tc>
        <w:tc>
          <w:tcPr>
            <w:shd w:val="clear" w:color="auto" w:fill="F7F9FC"/>
            <w:tcW w:w="7043" w:type="dxa"/>
          </w:tcPr>
          <w:p>
            <w:pPr>
              <w:spacing w:after="20" w:before="20" w:line="240" w:lineRule="auto"/>
            </w:pPr>
            <w:r>
              <w:rPr>
                <w:rFonts w:ascii="Calibri" w:hAnsi="Calibri"/>
                <w:b w:val="0"/>
                <w:sz w:val="18"/>
              </w:rPr>
              <w:t>Requirements aligned with the implemented system; every requirement now has an automated test; RTM statuses reflect actual verification</w:t>
            </w:r>
          </w:p>
        </w:tc>
        <w:tc>
          <w:tcPr>
            <w:shd w:val="clear" w:color="auto" w:fill="F7F9FC"/>
            <w:tcW w:w="695" w:type="dxa"/>
          </w:tcPr>
          <w:p>
            <w:pPr>
              <w:spacing w:after="20" w:before="20" w:line="240" w:lineRule="auto"/>
            </w:pPr>
            <w:r>
              <w:rPr>
                <w:rFonts w:ascii="Calibri" w:hAnsi="Calibri"/>
                <w:b w:val="0"/>
                <w:sz w:val="18"/>
              </w:rPr>
              <w:t>Pending</w:t>
            </w:r>
          </w:p>
        </w:tc>
      </w:tr>
    </w:tbl>
    <w:p>
      <w:pPr>
        <w:spacing w:after="80"/>
      </w:pPr>
    </w:p>
    <w:p>
      <w:pPr>
        <w:pStyle w:val="Heading2"/>
      </w:pPr>
      <w:r>
        <w:rPr>
          <w:rFonts w:ascii="Calibri" w:hAnsi="Calibri"/>
          <w:b/>
          <w:color w:val="1F3B63"/>
        </w:rPr>
        <w:t>Approvals</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3816"/>
        <w:gridCol w:w="1712"/>
        <w:gridCol w:w="2866"/>
        <w:gridCol w:w="1067"/>
      </w:tblGrid>
      <w:tr>
        <w:trPr>
          <w:tblHeader w:val="true"/>
        </w:trPr>
        <w:tc>
          <w:tcPr>
            <w:shd w:val="clear" w:color="auto" w:fill="1F3B63"/>
            <w:tcW w:w="3816" w:type="dxa"/>
          </w:tcPr>
          <w:p>
            <w:pPr>
              <w:spacing w:after="20" w:before="20"/>
            </w:pPr>
            <w:r>
              <w:rPr>
                <w:b/>
                <w:color w:val="FFFFFF"/>
                <w:sz w:val="18"/>
              </w:rPr>
              <w:t>Role</w:t>
            </w:r>
          </w:p>
        </w:tc>
        <w:tc>
          <w:tcPr>
            <w:shd w:val="clear" w:color="auto" w:fill="1F3B63"/>
            <w:tcW w:w="1712" w:type="dxa"/>
          </w:tcPr>
          <w:p>
            <w:pPr>
              <w:spacing w:after="20" w:before="20"/>
            </w:pPr>
            <w:r>
              <w:rPr>
                <w:b/>
                <w:color w:val="FFFFFF"/>
                <w:sz w:val="18"/>
              </w:rPr>
              <w:t>Name</w:t>
            </w:r>
          </w:p>
        </w:tc>
        <w:tc>
          <w:tcPr>
            <w:shd w:val="clear" w:color="auto" w:fill="1F3B63"/>
            <w:tcW w:w="2866" w:type="dxa"/>
          </w:tcPr>
          <w:p>
            <w:pPr>
              <w:spacing w:after="20" w:before="20"/>
            </w:pPr>
            <w:r>
              <w:rPr>
                <w:b/>
                <w:color w:val="FFFFFF"/>
                <w:sz w:val="18"/>
              </w:rPr>
              <w:t>Signature / Email</w:t>
            </w:r>
          </w:p>
        </w:tc>
        <w:tc>
          <w:tcPr>
            <w:shd w:val="clear" w:color="auto" w:fill="1F3B63"/>
            <w:tcW w:w="1067" w:type="dxa"/>
          </w:tcPr>
          <w:p>
            <w:pPr>
              <w:spacing w:after="20" w:before="20"/>
            </w:pPr>
            <w:r>
              <w:rPr>
                <w:b/>
                <w:color w:val="FFFFFF"/>
                <w:sz w:val="18"/>
              </w:rPr>
              <w:t>Date</w:t>
            </w:r>
          </w:p>
        </w:tc>
      </w:tr>
      <w:tr>
        <w:tc>
          <w:tcPr>
            <w:tcW w:w="3816" w:type="dxa"/>
          </w:tcPr>
          <w:p>
            <w:pPr>
              <w:spacing w:after="20" w:before="20" w:line="240" w:lineRule="auto"/>
            </w:pPr>
            <w:r>
              <w:rPr>
                <w:rFonts w:ascii="Calibri" w:hAnsi="Calibri"/>
                <w:b w:val="0"/>
                <w:sz w:val="18"/>
              </w:rPr>
              <w:t>Course Coordinator</w:t>
            </w:r>
          </w:p>
        </w:tc>
        <w:tc>
          <w:tcPr>
            <w:tcW w:w="1712" w:type="dxa"/>
          </w:tcPr>
          <w:p>
            <w:pPr>
              <w:spacing w:after="20" w:before="20" w:line="240" w:lineRule="auto"/>
            </w:pPr>
          </w:p>
        </w:tc>
        <w:tc>
          <w:tcPr>
            <w:tcW w:w="2866" w:type="dxa"/>
          </w:tcPr>
          <w:p>
            <w:pPr>
              <w:spacing w:after="20" w:before="20" w:line="240" w:lineRule="auto"/>
            </w:pPr>
          </w:p>
        </w:tc>
        <w:tc>
          <w:tcPr>
            <w:tcW w:w="1067" w:type="dxa"/>
          </w:tcPr>
          <w:p>
            <w:pPr>
              <w:spacing w:after="20" w:before="20" w:line="240" w:lineRule="auto"/>
            </w:pPr>
          </w:p>
        </w:tc>
      </w:tr>
      <w:tr>
        <w:tc>
          <w:tcPr>
            <w:shd w:val="clear" w:color="auto" w:fill="F7F9FC"/>
            <w:tcW w:w="3816" w:type="dxa"/>
          </w:tcPr>
          <w:p>
            <w:pPr>
              <w:spacing w:after="20" w:before="20" w:line="240" w:lineRule="auto"/>
            </w:pPr>
            <w:r>
              <w:rPr>
                <w:rFonts w:ascii="Calibri" w:hAnsi="Calibri"/>
                <w:b w:val="0"/>
                <w:sz w:val="18"/>
              </w:rPr>
              <w:t>Team 03 Lead</w:t>
            </w:r>
          </w:p>
        </w:tc>
        <w:tc>
          <w:tcPr>
            <w:shd w:val="clear" w:color="auto" w:fill="F7F9FC"/>
            <w:tcW w:w="1712" w:type="dxa"/>
          </w:tcPr>
          <w:p>
            <w:pPr>
              <w:spacing w:after="20" w:before="20" w:line="240" w:lineRule="auto"/>
            </w:pPr>
            <w:r>
              <w:rPr>
                <w:rFonts w:ascii="Calibri" w:hAnsi="Calibri"/>
                <w:b w:val="0"/>
                <w:sz w:val="18"/>
              </w:rPr>
              <w:t>Dilipan Y</w:t>
            </w:r>
          </w:p>
        </w:tc>
        <w:tc>
          <w:tcPr>
            <w:shd w:val="clear" w:color="auto" w:fill="F7F9FC"/>
            <w:tcW w:w="2866" w:type="dxa"/>
          </w:tcPr>
          <w:p>
            <w:pPr>
              <w:spacing w:after="20" w:before="20" w:line="240" w:lineRule="auto"/>
            </w:pPr>
          </w:p>
        </w:tc>
        <w:tc>
          <w:tcPr>
            <w:shd w:val="clear" w:color="auto" w:fill="F7F9FC"/>
            <w:tcW w:w="1067" w:type="dxa"/>
          </w:tcPr>
          <w:p>
            <w:pPr>
              <w:spacing w:after="20" w:before="20" w:line="240" w:lineRule="auto"/>
            </w:pPr>
          </w:p>
        </w:tc>
      </w:tr>
    </w:tbl>
    <w:p>
      <w:pPr>
        <w:spacing w:after="80"/>
      </w:pPr>
    </w:p>
    <w:p>
      <w:pPr>
        <w:pStyle w:val="Heading1"/>
        <w:pBdr>
          <w:bottom w:val="single" w:sz="6" w:space="4" w:color="C9D2DD"/>
        </w:pBdr>
      </w:pPr>
      <w:r>
        <w:rPr>
          <w:rFonts w:ascii="Calibri" w:hAnsi="Calibri"/>
          <w:b/>
          <w:color w:val="1F3B63"/>
        </w:rPr>
        <w:t>1. Introduction</w:t>
      </w:r>
    </w:p>
    <w:p>
      <w:pPr>
        <w:pStyle w:val="Heading2"/>
      </w:pPr>
      <w:r>
        <w:rPr>
          <w:rFonts w:ascii="Calibri" w:hAnsi="Calibri"/>
          <w:b/>
          <w:color w:val="1F3B63"/>
        </w:rPr>
        <w:t>1.1 Purpose</w:t>
      </w:r>
    </w:p>
    <w:p>
      <w:pPr>
        <w:jc w:val="both"/>
      </w:pPr>
      <w:r>
        <w:rPr>
          <w:rFonts w:ascii="Calibri" w:hAnsi="Calibri"/>
          <w:b w:val="0"/>
        </w:rPr>
        <w:t xml:space="preserve">This document specifies the functional and non-functional requirements of the IT Infrastructure Management Software (ITIM) v1.0. It is the agreement between the team, testers and evaluators about what the system does and how each requirement is verified. Every requirement has acceptance criteria and a test case reference; the test cases are defined in the Software Test Plan and implemented as automated tests in </w:t>
      </w:r>
      <w:r>
        <w:rPr>
          <w:rFonts w:ascii="Consolas" w:hAnsi="Consolas" w:eastAsia="Consolas"/>
          <w:b w:val="0"/>
          <w:sz w:val="19"/>
        </w:rPr>
        <w:t>tests/</w:t>
      </w:r>
      <w:r>
        <w:rPr>
          <w:rFonts w:ascii="Calibri" w:hAnsi="Calibri"/>
          <w:b w:val="0"/>
        </w:rPr>
        <w:t>.</w:t>
      </w:r>
    </w:p>
    <w:p>
      <w:pPr>
        <w:pStyle w:val="Heading2"/>
      </w:pPr>
      <w:r>
        <w:rPr>
          <w:rFonts w:ascii="Calibri" w:hAnsi="Calibri"/>
          <w:b/>
          <w:color w:val="1F3B63"/>
        </w:rPr>
        <w:t>1.2 Scope</w:t>
      </w:r>
    </w:p>
    <w:p>
      <w:pPr>
        <w:jc w:val="both"/>
      </w:pPr>
      <w:r>
        <w:rPr>
          <w:rFonts w:ascii="Calibri" w:hAnsi="Calibri"/>
          <w:b w:val="0"/>
        </w:rPr>
        <w:t>ITIM is a web-based system for an organisation's IT department. It covers:</w:t>
      </w:r>
    </w:p>
    <w:p>
      <w:pPr>
        <w:pStyle w:val="ListBullet"/>
        <w:spacing w:after="40"/>
      </w:pPr>
      <w:r>
        <w:rPr>
          <w:rFonts w:ascii="Calibri" w:hAnsi="Calibri"/>
          <w:b/>
        </w:rPr>
        <w:t>Hardware Asset Management (HAM):</w:t>
      </w:r>
      <w:r>
        <w:rPr>
          <w:rFonts w:ascii="Calibri" w:hAnsi="Calibri"/>
          <w:b w:val="0"/>
        </w:rPr>
        <w:t xml:space="preserve"> registering devices, barcode labelling, check-out to employees and check-in, depreciation, maintenance history and certified decommissioning.</w:t>
      </w:r>
    </w:p>
    <w:p>
      <w:pPr>
        <w:pStyle w:val="ListBullet"/>
        <w:spacing w:after="40"/>
      </w:pPr>
      <w:r>
        <w:rPr>
          <w:rFonts w:ascii="Calibri" w:hAnsi="Calibri"/>
          <w:b/>
        </w:rPr>
        <w:t>Software Asset Management (SAM):</w:t>
      </w:r>
      <w:r>
        <w:rPr>
          <w:rFonts w:ascii="Calibri" w:hAnsi="Calibri"/>
          <w:b w:val="0"/>
        </w:rPr>
        <w:t xml:space="preserve"> license pools with seat limits, seat allocation to devices, encrypted storage of product keys.</w:t>
      </w:r>
    </w:p>
    <w:p>
      <w:pPr>
        <w:pStyle w:val="ListBullet"/>
        <w:spacing w:after="40"/>
      </w:pPr>
      <w:r>
        <w:rPr>
          <w:rFonts w:ascii="Calibri" w:hAnsi="Calibri"/>
          <w:b/>
        </w:rPr>
        <w:t>Endpoint compliance auditing:</w:t>
      </w:r>
      <w:r>
        <w:rPr>
          <w:rFonts w:ascii="Calibri" w:hAnsi="Calibri"/>
          <w:b w:val="0"/>
        </w:rPr>
        <w:t xml:space="preserve"> an authenticated REST endpoint that receives installed-software manifests from endpoint agents, reconciles installations against purchased entitlements and detects prohibited software.</w:t>
      </w:r>
    </w:p>
    <w:p>
      <w:pPr>
        <w:pStyle w:val="ListBullet"/>
        <w:spacing w:after="40"/>
      </w:pPr>
      <w:r>
        <w:rPr>
          <w:rFonts w:ascii="Calibri" w:hAnsi="Calibri"/>
          <w:b/>
        </w:rPr>
        <w:t>Procurement:</w:t>
      </w:r>
      <w:r>
        <w:rPr>
          <w:rFonts w:ascii="Calibri" w:hAnsi="Calibri"/>
          <w:b w:val="0"/>
        </w:rPr>
        <w:t xml:space="preserve"> purchase requisitions with a three-tier approval chain, purchase orders, and automatic onboarding of delivered items.</w:t>
      </w:r>
    </w:p>
    <w:p>
      <w:pPr>
        <w:pStyle w:val="ListBullet"/>
        <w:spacing w:after="40"/>
      </w:pPr>
      <w:r>
        <w:rPr>
          <w:rFonts w:ascii="Calibri" w:hAnsi="Calibri"/>
          <w:b/>
        </w:rPr>
        <w:t>Alerting and reporting:</w:t>
      </w:r>
      <w:r>
        <w:rPr>
          <w:rFonts w:ascii="Calibri" w:hAnsi="Calibri"/>
          <w:b w:val="0"/>
        </w:rPr>
        <w:t xml:space="preserve"> license-breach and expiry notifications, and one-click compliance reports in JSON and CSV.</w:t>
      </w:r>
    </w:p>
    <w:p>
      <w:pPr>
        <w:jc w:val="both"/>
      </w:pPr>
      <w:r>
        <w:rPr>
          <w:rFonts w:ascii="Calibri" w:hAnsi="Calibri"/>
          <w:b/>
        </w:rPr>
        <w:t>Out of scope for v1.0:</w:t>
      </w:r>
      <w:r>
        <w:rPr>
          <w:rFonts w:ascii="Calibri" w:hAnsi="Calibri"/>
          <w:b w:val="0"/>
        </w:rPr>
        <w:t xml:space="preserve"> the endpoint agent program itself (the system defines and implements the agent API; tests use simulated agents), network discovery (SNMP/WMI sweeps), LDAP/Active Directory integration (users are managed in the system), email/Slack delivery of notifications (notifications are in-app), PDF export, and multi-node clustering.</w:t>
      </w:r>
    </w:p>
    <w:p>
      <w:pPr>
        <w:pStyle w:val="Heading2"/>
      </w:pPr>
      <w:r>
        <w:rPr>
          <w:rFonts w:ascii="Calibri" w:hAnsi="Calibri"/>
          <w:b/>
          <w:color w:val="1F3B63"/>
        </w:rPr>
        <w:t>1.3 Audience</w:t>
      </w:r>
    </w:p>
    <w:p>
      <w:pPr>
        <w:jc w:val="both"/>
      </w:pPr>
      <w:r>
        <w:rPr>
          <w:rFonts w:ascii="Calibri" w:hAnsi="Calibri"/>
          <w:b w:val="0"/>
        </w:rPr>
        <w:t>Developers, QA engineers, IT administrators, procurement and finance staff, compliance auditors, and course evaluators.</w:t>
      </w:r>
    </w:p>
    <w:p>
      <w:pPr>
        <w:pStyle w:val="Heading2"/>
      </w:pPr>
      <w:r>
        <w:rPr>
          <w:rFonts w:ascii="Calibri" w:hAnsi="Calibri"/>
          <w:b/>
          <w:color w:val="1F3B63"/>
        </w:rPr>
        <w:t>1.4 Definitions</w:t>
      </w:r>
    </w:p>
    <w:p>
      <w:pPr>
        <w:pStyle w:val="ListBullet"/>
        <w:spacing w:after="40"/>
      </w:pPr>
      <w:r>
        <w:rPr>
          <w:rFonts w:ascii="Calibri" w:hAnsi="Calibri"/>
          <w:b/>
        </w:rPr>
        <w:t>HAM / SAM:</w:t>
      </w:r>
      <w:r>
        <w:rPr>
          <w:rFonts w:ascii="Calibri" w:hAnsi="Calibri"/>
          <w:b w:val="0"/>
        </w:rPr>
        <w:t xml:space="preserve"> Hardware / Software Asset Management.</w:t>
      </w:r>
    </w:p>
    <w:p>
      <w:pPr>
        <w:pStyle w:val="ListBullet"/>
        <w:spacing w:after="40"/>
      </w:pPr>
      <w:r>
        <w:rPr>
          <w:rFonts w:ascii="Calibri" w:hAnsi="Calibri"/>
          <w:b/>
        </w:rPr>
        <w:t>Asset tag:</w:t>
      </w:r>
      <w:r>
        <w:rPr>
          <w:rFonts w:ascii="Calibri" w:hAnsi="Calibri"/>
          <w:b w:val="0"/>
        </w:rPr>
        <w:t xml:space="preserve"> unique human-readable identifier of a device, for example </w:t>
      </w:r>
      <w:r>
        <w:rPr>
          <w:rFonts w:ascii="Consolas" w:hAnsi="Consolas" w:eastAsia="Consolas"/>
          <w:b w:val="0"/>
          <w:sz w:val="19"/>
        </w:rPr>
        <w:t>HW-2026-000042</w:t>
      </w:r>
      <w:r>
        <w:rPr>
          <w:rFonts w:ascii="Calibri" w:hAnsi="Calibri"/>
          <w:b w:val="0"/>
        </w:rPr>
        <w:t>.</w:t>
      </w:r>
    </w:p>
    <w:p>
      <w:pPr>
        <w:pStyle w:val="ListBullet"/>
        <w:spacing w:after="40"/>
      </w:pPr>
      <w:r>
        <w:rPr>
          <w:rFonts w:ascii="Calibri" w:hAnsi="Calibri"/>
          <w:b/>
        </w:rPr>
        <w:t>License pool:</w:t>
      </w:r>
      <w:r>
        <w:rPr>
          <w:rFonts w:ascii="Calibri" w:hAnsi="Calibri"/>
          <w:b w:val="0"/>
        </w:rPr>
        <w:t xml:space="preserve"> a purchased entitlement for one software product with a fixed number of seats.</w:t>
      </w:r>
    </w:p>
    <w:p>
      <w:pPr>
        <w:pStyle w:val="ListBullet"/>
        <w:spacing w:after="40"/>
      </w:pPr>
      <w:r>
        <w:rPr>
          <w:rFonts w:ascii="Calibri" w:hAnsi="Calibri"/>
          <w:b/>
        </w:rPr>
        <w:t>Seat allocation:</w:t>
      </w:r>
      <w:r>
        <w:rPr>
          <w:rFonts w:ascii="Calibri" w:hAnsi="Calibri"/>
          <w:b w:val="0"/>
        </w:rPr>
        <w:t xml:space="preserve"> assignment of one seat of a license pool to one hardware asset.</w:t>
      </w:r>
    </w:p>
    <w:p>
      <w:pPr>
        <w:pStyle w:val="ListBullet"/>
        <w:spacing w:after="40"/>
      </w:pPr>
      <w:r>
        <w:rPr>
          <w:rFonts w:ascii="Calibri" w:hAnsi="Calibri"/>
          <w:b/>
        </w:rPr>
        <w:t>Manifest:</w:t>
      </w:r>
      <w:r>
        <w:rPr>
          <w:rFonts w:ascii="Calibri" w:hAnsi="Calibri"/>
          <w:b w:val="0"/>
        </w:rPr>
        <w:t xml:space="preserve"> the list of installed software reported by an endpoint agent.</w:t>
      </w:r>
    </w:p>
    <w:p>
      <w:pPr>
        <w:pStyle w:val="ListBullet"/>
        <w:spacing w:after="40"/>
      </w:pPr>
      <w:r>
        <w:rPr>
          <w:rFonts w:ascii="Calibri" w:hAnsi="Calibri"/>
          <w:b/>
        </w:rPr>
        <w:t>PR / PO:</w:t>
      </w:r>
      <w:r>
        <w:rPr>
          <w:rFonts w:ascii="Calibri" w:hAnsi="Calibri"/>
          <w:b w:val="0"/>
        </w:rPr>
        <w:t xml:space="preserve"> Purchase Requisition / Purchase Order.</w:t>
      </w:r>
    </w:p>
    <w:p>
      <w:pPr>
        <w:pStyle w:val="ListBullet"/>
        <w:spacing w:after="40"/>
      </w:pPr>
      <w:r>
        <w:rPr>
          <w:rFonts w:ascii="Calibri" w:hAnsi="Calibri"/>
          <w:b/>
        </w:rPr>
        <w:t>RBAC:</w:t>
      </w:r>
      <w:r>
        <w:rPr>
          <w:rFonts w:ascii="Calibri" w:hAnsi="Calibri"/>
          <w:b w:val="0"/>
        </w:rPr>
        <w:t xml:space="preserve"> Role-Based Access Control. </w:t>
      </w:r>
      <w:r>
        <w:rPr>
          <w:rFonts w:ascii="Calibri" w:hAnsi="Calibri"/>
          <w:b/>
        </w:rPr>
        <w:t>JWT:</w:t>
      </w:r>
      <w:r>
        <w:rPr>
          <w:rFonts w:ascii="Calibri" w:hAnsi="Calibri"/>
          <w:b w:val="0"/>
        </w:rPr>
        <w:t xml:space="preserve"> JSON Web Token. </w:t>
      </w:r>
      <w:r>
        <w:rPr>
          <w:rFonts w:ascii="Calibri" w:hAnsi="Calibri"/>
          <w:b/>
        </w:rPr>
        <w:t>TLS:</w:t>
      </w:r>
      <w:r>
        <w:rPr>
          <w:rFonts w:ascii="Calibri" w:hAnsi="Calibri"/>
          <w:b w:val="0"/>
        </w:rPr>
        <w:t xml:space="preserve"> Transport Layer Security.</w:t>
      </w:r>
    </w:p>
    <w:p>
      <w:pPr>
        <w:pStyle w:val="ListBullet"/>
        <w:spacing w:after="40"/>
      </w:pPr>
      <w:r>
        <w:rPr>
          <w:rFonts w:ascii="Calibri" w:hAnsi="Calibri"/>
          <w:b/>
        </w:rPr>
        <w:t>RPO / RTO:</w:t>
      </w:r>
      <w:r>
        <w:rPr>
          <w:rFonts w:ascii="Calibri" w:hAnsi="Calibri"/>
          <w:b w:val="0"/>
        </w:rPr>
        <w:t xml:space="preserve"> Recovery Point Objective / Recovery Time Objective.</w:t>
      </w:r>
    </w:p>
    <w:p>
      <w:pPr>
        <w:pStyle w:val="ListBullet"/>
        <w:spacing w:after="40"/>
      </w:pPr>
      <w:r>
        <w:rPr>
          <w:rFonts w:ascii="Calibri" w:hAnsi="Calibri"/>
          <w:b/>
        </w:rPr>
        <w:t>NIST SP 800-88:</w:t>
      </w:r>
      <w:r>
        <w:rPr>
          <w:rFonts w:ascii="Calibri" w:hAnsi="Calibri"/>
          <w:b w:val="0"/>
        </w:rPr>
        <w:t xml:space="preserve"> NIST guideline for media sanitisation (methods Clear, Purge, Destroy).</w:t>
      </w:r>
    </w:p>
    <w:p>
      <w:pPr>
        <w:pStyle w:val="Heading1"/>
        <w:pBdr>
          <w:bottom w:val="single" w:sz="6" w:space="4" w:color="C9D2DD"/>
        </w:pBdr>
      </w:pPr>
      <w:r>
        <w:rPr>
          <w:rFonts w:ascii="Calibri" w:hAnsi="Calibri"/>
          <w:b/>
          <w:color w:val="1F3B63"/>
        </w:rPr>
        <w:t>2. Overall description</w:t>
      </w:r>
    </w:p>
    <w:p>
      <w:pPr>
        <w:pStyle w:val="Heading2"/>
      </w:pPr>
      <w:r>
        <w:rPr>
          <w:rFonts w:ascii="Calibri" w:hAnsi="Calibri"/>
          <w:b/>
          <w:color w:val="1F3B63"/>
        </w:rPr>
        <w:t>2.1 Product perspective</w:t>
      </w:r>
    </w:p>
    <w:p>
      <w:pPr>
        <w:jc w:val="both"/>
      </w:pPr>
      <w:r>
        <w:rPr>
          <w:rFonts w:ascii="Calibri" w:hAnsi="Calibri"/>
          <w:b w:val="0"/>
        </w:rPr>
        <w:t>ITIM is a self-contained Node.js service exposing a REST API and serving a browser dashboard. Endpoint agents on company devices call the telemetry API. Data is held in memory and persisted to a JSON snapshot file, with encrypted backups.</w:t>
      </w:r>
    </w:p>
    <w:p>
      <w:pPr>
        <w:spacing w:before="120" w:after="40"/>
        <w:jc w:val="center"/>
        <w:keepNext/>
      </w:pPr>
      <w:r>
        <w:drawing>
          <wp:inline xmlns:a="http://schemas.openxmlformats.org/drawingml/2006/main" xmlns:pic="http://schemas.openxmlformats.org/drawingml/2006/picture">
            <wp:extent cx="6007735" cy="1041340"/>
            <wp:docPr id="1" name="Picture 1"/>
            <wp:cNvGraphicFramePr>
              <a:graphicFrameLocks noChangeAspect="1"/>
            </wp:cNvGraphicFramePr>
            <a:graphic>
              <a:graphicData uri="http://schemas.openxmlformats.org/drawingml/2006/picture">
                <pic:pic>
                  <pic:nvPicPr>
                    <pic:cNvPr id="0" name="SRS-1.png"/>
                    <pic:cNvPicPr/>
                  </pic:nvPicPr>
                  <pic:blipFill>
                    <a:blip r:embed="rId12"/>
                    <a:stretch>
                      <a:fillRect/>
                    </a:stretch>
                  </pic:blipFill>
                  <pic:spPr>
                    <a:xfrm>
                      <a:off x="0" y="0"/>
                      <a:ext cx="6007735" cy="1041340"/>
                    </a:xfrm>
                    <a:prstGeom prst="rect"/>
                  </pic:spPr>
                </pic:pic>
              </a:graphicData>
            </a:graphic>
          </wp:inline>
        </w:drawing>
      </w:r>
    </w:p>
    <w:p>
      <w:pPr>
        <w:spacing w:after="200"/>
        <w:jc w:val="center"/>
      </w:pPr>
      <w:r>
        <w:rPr>
          <w:i/>
          <w:color w:val="505A68"/>
          <w:sz w:val="18"/>
        </w:rPr>
        <w:t>Figure 1: 2.1 Product perspective</w:t>
      </w:r>
    </w:p>
    <w:p>
      <w:pPr>
        <w:pStyle w:val="Heading2"/>
      </w:pPr>
      <w:r>
        <w:rPr>
          <w:rFonts w:ascii="Calibri" w:hAnsi="Calibri"/>
          <w:b/>
          <w:color w:val="1F3B63"/>
        </w:rPr>
        <w:t>2.2 Major product functions</w:t>
      </w:r>
    </w:p>
    <w:p>
      <w:pPr>
        <w:pStyle w:val="ListNumber"/>
        <w:spacing w:after="40"/>
      </w:pPr>
      <w:r>
        <w:rPr>
          <w:rFonts w:ascii="Calibri" w:hAnsi="Calibri"/>
          <w:b w:val="0"/>
        </w:rPr>
        <w:t>Register hardware assets and print Code 128 barcode labels; resolve scanned tags.</w:t>
      </w:r>
    </w:p>
    <w:p>
      <w:pPr>
        <w:pStyle w:val="ListNumber"/>
        <w:spacing w:after="40"/>
      </w:pPr>
      <w:r>
        <w:rPr>
          <w:rFonts w:ascii="Calibri" w:hAnsi="Calibri"/>
          <w:b w:val="0"/>
        </w:rPr>
        <w:t>Check devices out to employees and back in; keep assignment history.</w:t>
      </w:r>
    </w:p>
    <w:p>
      <w:pPr>
        <w:pStyle w:val="ListNumber"/>
        <w:spacing w:after="40"/>
      </w:pPr>
      <w:r>
        <w:rPr>
          <w:rFonts w:ascii="Calibri" w:hAnsi="Calibri"/>
          <w:b w:val="0"/>
        </w:rPr>
        <w:t>Compute straight-line and written-down-value depreciation.</w:t>
      </w:r>
    </w:p>
    <w:p>
      <w:pPr>
        <w:pStyle w:val="ListNumber"/>
        <w:spacing w:after="40"/>
      </w:pPr>
      <w:r>
        <w:rPr>
          <w:rFonts w:ascii="Calibri" w:hAnsi="Calibri"/>
          <w:b w:val="0"/>
        </w:rPr>
        <w:t>Maintain license pools with encrypted product keys; allocate and reclaim seats without over-allocation.</w:t>
      </w:r>
    </w:p>
    <w:p>
      <w:pPr>
        <w:pStyle w:val="ListNumber"/>
        <w:spacing w:after="40"/>
      </w:pPr>
      <w:r>
        <w:rPr>
          <w:rFonts w:ascii="Calibri" w:hAnsi="Calibri"/>
          <w:b w:val="0"/>
        </w:rPr>
        <w:t>Ingest endpoint manifests; reconcile installations against entitlements; detect prohibited software.</w:t>
      </w:r>
    </w:p>
    <w:p>
      <w:pPr>
        <w:pStyle w:val="ListNumber"/>
        <w:spacing w:after="40"/>
      </w:pPr>
      <w:r>
        <w:rPr>
          <w:rFonts w:ascii="Calibri" w:hAnsi="Calibri"/>
          <w:b w:val="0"/>
        </w:rPr>
        <w:t>Run purchase requisitions through Manager, IT Director and Finance approval; issue purchase orders; onboard deliveries.</w:t>
      </w:r>
    </w:p>
    <w:p>
      <w:pPr>
        <w:pStyle w:val="ListNumber"/>
        <w:spacing w:after="40"/>
      </w:pPr>
      <w:r>
        <w:rPr>
          <w:rFonts w:ascii="Calibri" w:hAnsi="Calibri"/>
          <w:b w:val="0"/>
        </w:rPr>
        <w:t>Raise license-breach and expiry notifications; produce compliance reports.</w:t>
      </w:r>
    </w:p>
    <w:p>
      <w:pPr>
        <w:pStyle w:val="ListNumber"/>
        <w:spacing w:after="40"/>
      </w:pPr>
      <w:r>
        <w:rPr>
          <w:rFonts w:ascii="Calibri" w:hAnsi="Calibri"/>
          <w:b w:val="0"/>
        </w:rPr>
        <w:t>Log maintenance; decommission devices with a sanitisation certificate and reclaim their licenses.</w:t>
      </w:r>
    </w:p>
    <w:p>
      <w:pPr>
        <w:pStyle w:val="Heading2"/>
      </w:pPr>
      <w:r>
        <w:rPr>
          <w:rFonts w:ascii="Calibri" w:hAnsi="Calibri"/>
          <w:b/>
          <w:color w:val="1F3B63"/>
        </w:rPr>
        <w:t>2.3 User roles and characteristics</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1543"/>
        <w:gridCol w:w="7918"/>
      </w:tblGrid>
      <w:tr>
        <w:trPr>
          <w:tblHeader w:val="true"/>
        </w:trPr>
        <w:tc>
          <w:tcPr>
            <w:shd w:val="clear" w:color="auto" w:fill="1F3B63"/>
            <w:tcW w:w="1543" w:type="dxa"/>
          </w:tcPr>
          <w:p>
            <w:pPr>
              <w:spacing w:after="20" w:before="20"/>
            </w:pPr>
            <w:r>
              <w:rPr>
                <w:b/>
                <w:color w:val="FFFFFF"/>
                <w:sz w:val="18"/>
              </w:rPr>
              <w:t>Role</w:t>
            </w:r>
          </w:p>
        </w:tc>
        <w:tc>
          <w:tcPr>
            <w:shd w:val="clear" w:color="auto" w:fill="1F3B63"/>
            <w:tcW w:w="7918" w:type="dxa"/>
          </w:tcPr>
          <w:p>
            <w:pPr>
              <w:spacing w:after="20" w:before="20"/>
            </w:pPr>
            <w:r>
              <w:rPr>
                <w:b/>
                <w:color w:val="FFFFFF"/>
                <w:sz w:val="18"/>
              </w:rPr>
              <w:t>Characteristics and main tasks</w:t>
            </w:r>
          </w:p>
        </w:tc>
      </w:tr>
      <w:tr>
        <w:tc>
          <w:tcPr>
            <w:tcW w:w="1543" w:type="dxa"/>
          </w:tcPr>
          <w:p>
            <w:pPr>
              <w:spacing w:after="20" w:before="20" w:line="240" w:lineRule="auto"/>
            </w:pPr>
            <w:r>
              <w:rPr>
                <w:rFonts w:ascii="Calibri" w:hAnsi="Calibri"/>
                <w:b w:val="0"/>
                <w:sz w:val="18"/>
              </w:rPr>
              <w:t>Super Administrator</w:t>
            </w:r>
          </w:p>
        </w:tc>
        <w:tc>
          <w:tcPr>
            <w:tcW w:w="7918" w:type="dxa"/>
          </w:tcPr>
          <w:p>
            <w:pPr>
              <w:spacing w:after="20" w:before="20" w:line="240" w:lineRule="auto"/>
            </w:pPr>
            <w:r>
              <w:rPr>
                <w:rFonts w:ascii="Calibri" w:hAnsi="Calibri"/>
                <w:b w:val="0"/>
                <w:sz w:val="18"/>
              </w:rPr>
              <w:t>Full access, including viewing raw license keys and the user list.</w:t>
            </w:r>
          </w:p>
        </w:tc>
      </w:tr>
      <w:tr>
        <w:tc>
          <w:tcPr>
            <w:shd w:val="clear" w:color="auto" w:fill="F7F9FC"/>
            <w:tcW w:w="1543" w:type="dxa"/>
          </w:tcPr>
          <w:p>
            <w:pPr>
              <w:spacing w:after="20" w:before="20" w:line="240" w:lineRule="auto"/>
            </w:pPr>
            <w:r>
              <w:rPr>
                <w:rFonts w:ascii="Calibri" w:hAnsi="Calibri"/>
                <w:b w:val="0"/>
                <w:sz w:val="18"/>
              </w:rPr>
              <w:t>IT Administrator</w:t>
            </w:r>
          </w:p>
        </w:tc>
        <w:tc>
          <w:tcPr>
            <w:shd w:val="clear" w:color="auto" w:fill="F7F9FC"/>
            <w:tcW w:w="7918" w:type="dxa"/>
          </w:tcPr>
          <w:p>
            <w:pPr>
              <w:spacing w:after="20" w:before="20" w:line="240" w:lineRule="auto"/>
            </w:pPr>
            <w:r>
              <w:rPr>
                <w:rFonts w:ascii="Calibri" w:hAnsi="Calibri"/>
                <w:b w:val="0"/>
                <w:sz w:val="18"/>
              </w:rPr>
              <w:t>Registers assets and licenses, decommissions devices, manages the blacklist, runs alert checks.</w:t>
            </w:r>
          </w:p>
        </w:tc>
      </w:tr>
      <w:tr>
        <w:tc>
          <w:tcPr>
            <w:tcW w:w="1543" w:type="dxa"/>
          </w:tcPr>
          <w:p>
            <w:pPr>
              <w:spacing w:after="20" w:before="20" w:line="240" w:lineRule="auto"/>
            </w:pPr>
            <w:r>
              <w:rPr>
                <w:rFonts w:ascii="Calibri" w:hAnsi="Calibri"/>
                <w:b w:val="0"/>
                <w:sz w:val="18"/>
              </w:rPr>
              <w:t>IT Technician</w:t>
            </w:r>
          </w:p>
        </w:tc>
        <w:tc>
          <w:tcPr>
            <w:tcW w:w="7918" w:type="dxa"/>
          </w:tcPr>
          <w:p>
            <w:pPr>
              <w:spacing w:after="20" w:before="20" w:line="240" w:lineRule="auto"/>
            </w:pPr>
            <w:r>
              <w:rPr>
                <w:rFonts w:ascii="Calibri" w:hAnsi="Calibri"/>
                <w:b w:val="0"/>
                <w:sz w:val="18"/>
              </w:rPr>
              <w:t>Day-to-day check-out/check-in, seat allocation, maintenance logging, receiving deliveries.</w:t>
            </w:r>
          </w:p>
        </w:tc>
      </w:tr>
      <w:tr>
        <w:tc>
          <w:tcPr>
            <w:shd w:val="clear" w:color="auto" w:fill="F7F9FC"/>
            <w:tcW w:w="1543" w:type="dxa"/>
          </w:tcPr>
          <w:p>
            <w:pPr>
              <w:spacing w:after="20" w:before="20" w:line="240" w:lineRule="auto"/>
            </w:pPr>
            <w:r>
              <w:rPr>
                <w:rFonts w:ascii="Calibri" w:hAnsi="Calibri"/>
                <w:b w:val="0"/>
                <w:sz w:val="18"/>
              </w:rPr>
              <w:t>Manager</w:t>
            </w:r>
          </w:p>
        </w:tc>
        <w:tc>
          <w:tcPr>
            <w:shd w:val="clear" w:color="auto" w:fill="F7F9FC"/>
            <w:tcW w:w="7918" w:type="dxa"/>
          </w:tcPr>
          <w:p>
            <w:pPr>
              <w:spacing w:after="20" w:before="20" w:line="240" w:lineRule="auto"/>
            </w:pPr>
            <w:r>
              <w:rPr>
                <w:rFonts w:ascii="Calibri" w:hAnsi="Calibri"/>
                <w:b w:val="0"/>
                <w:sz w:val="18"/>
              </w:rPr>
              <w:t>First-stage approver of requisitions.</w:t>
            </w:r>
          </w:p>
        </w:tc>
      </w:tr>
      <w:tr>
        <w:tc>
          <w:tcPr>
            <w:tcW w:w="1543" w:type="dxa"/>
          </w:tcPr>
          <w:p>
            <w:pPr>
              <w:spacing w:after="20" w:before="20" w:line="240" w:lineRule="auto"/>
            </w:pPr>
            <w:r>
              <w:rPr>
                <w:rFonts w:ascii="Calibri" w:hAnsi="Calibri"/>
                <w:b w:val="0"/>
                <w:sz w:val="18"/>
              </w:rPr>
              <w:t>IT Director</w:t>
            </w:r>
          </w:p>
        </w:tc>
        <w:tc>
          <w:tcPr>
            <w:tcW w:w="7918" w:type="dxa"/>
          </w:tcPr>
          <w:p>
            <w:pPr>
              <w:spacing w:after="20" w:before="20" w:line="240" w:lineRule="auto"/>
            </w:pPr>
            <w:r>
              <w:rPr>
                <w:rFonts w:ascii="Calibri" w:hAnsi="Calibri"/>
                <w:b w:val="0"/>
                <w:sz w:val="18"/>
              </w:rPr>
              <w:t>Second-stage approver of requisitions.</w:t>
            </w:r>
          </w:p>
        </w:tc>
      </w:tr>
      <w:tr>
        <w:tc>
          <w:tcPr>
            <w:shd w:val="clear" w:color="auto" w:fill="F7F9FC"/>
            <w:tcW w:w="1543" w:type="dxa"/>
          </w:tcPr>
          <w:p>
            <w:pPr>
              <w:spacing w:after="20" w:before="20" w:line="240" w:lineRule="auto"/>
            </w:pPr>
            <w:r>
              <w:rPr>
                <w:rFonts w:ascii="Calibri" w:hAnsi="Calibri"/>
                <w:b w:val="0"/>
                <w:sz w:val="18"/>
              </w:rPr>
              <w:t>Finance Officer</w:t>
            </w:r>
          </w:p>
        </w:tc>
        <w:tc>
          <w:tcPr>
            <w:shd w:val="clear" w:color="auto" w:fill="F7F9FC"/>
            <w:tcW w:w="7918" w:type="dxa"/>
          </w:tcPr>
          <w:p>
            <w:pPr>
              <w:spacing w:after="20" w:before="20" w:line="240" w:lineRule="auto"/>
            </w:pPr>
            <w:r>
              <w:rPr>
                <w:rFonts w:ascii="Calibri" w:hAnsi="Calibri"/>
                <w:b w:val="0"/>
                <w:sz w:val="18"/>
              </w:rPr>
              <w:t>Final approver; issues purchase orders.</w:t>
            </w:r>
          </w:p>
        </w:tc>
      </w:tr>
      <w:tr>
        <w:tc>
          <w:tcPr>
            <w:tcW w:w="1543" w:type="dxa"/>
          </w:tcPr>
          <w:p>
            <w:pPr>
              <w:spacing w:after="20" w:before="20" w:line="240" w:lineRule="auto"/>
            </w:pPr>
            <w:r>
              <w:rPr>
                <w:rFonts w:ascii="Calibri" w:hAnsi="Calibri"/>
                <w:b w:val="0"/>
                <w:sz w:val="18"/>
              </w:rPr>
              <w:t>Auditor</w:t>
            </w:r>
          </w:p>
        </w:tc>
        <w:tc>
          <w:tcPr>
            <w:tcW w:w="7918" w:type="dxa"/>
          </w:tcPr>
          <w:p>
            <w:pPr>
              <w:spacing w:after="20" w:before="20" w:line="240" w:lineRule="auto"/>
            </w:pPr>
            <w:r>
              <w:rPr>
                <w:rFonts w:ascii="Calibri" w:hAnsi="Calibri"/>
                <w:b w:val="0"/>
                <w:sz w:val="18"/>
              </w:rPr>
              <w:t>Read-only access to assets, licenses, compliance reports and the audit trail.</w:t>
            </w:r>
          </w:p>
        </w:tc>
      </w:tr>
      <w:tr>
        <w:tc>
          <w:tcPr>
            <w:shd w:val="clear" w:color="auto" w:fill="F7F9FC"/>
            <w:tcW w:w="1543" w:type="dxa"/>
          </w:tcPr>
          <w:p>
            <w:pPr>
              <w:spacing w:after="20" w:before="20" w:line="240" w:lineRule="auto"/>
            </w:pPr>
            <w:r>
              <w:rPr>
                <w:rFonts w:ascii="Calibri" w:hAnsi="Calibri"/>
                <w:b w:val="0"/>
                <w:sz w:val="18"/>
              </w:rPr>
              <w:t>Employee</w:t>
            </w:r>
          </w:p>
        </w:tc>
        <w:tc>
          <w:tcPr>
            <w:shd w:val="clear" w:color="auto" w:fill="F7F9FC"/>
            <w:tcW w:w="7918" w:type="dxa"/>
          </w:tcPr>
          <w:p>
            <w:pPr>
              <w:spacing w:after="20" w:before="20" w:line="240" w:lineRule="auto"/>
            </w:pPr>
            <w:r>
              <w:rPr>
                <w:rFonts w:ascii="Calibri" w:hAnsi="Calibri"/>
                <w:b w:val="0"/>
                <w:sz w:val="18"/>
              </w:rPr>
              <w:t>Sees assigned devices; submits and tracks own requisitions.</w:t>
            </w:r>
          </w:p>
        </w:tc>
      </w:tr>
    </w:tbl>
    <w:p>
      <w:pPr>
        <w:spacing w:after="80"/>
      </w:pPr>
    </w:p>
    <w:p>
      <w:pPr>
        <w:pStyle w:val="Heading2"/>
      </w:pPr>
      <w:r>
        <w:rPr>
          <w:rFonts w:ascii="Calibri" w:hAnsi="Calibri"/>
          <w:b/>
          <w:color w:val="1F3B63"/>
        </w:rPr>
        <w:t>2.4 Operating environment</w:t>
      </w:r>
    </w:p>
    <w:p>
      <w:pPr>
        <w:pStyle w:val="ListBullet"/>
        <w:spacing w:after="40"/>
      </w:pPr>
      <w:r>
        <w:rPr>
          <w:rFonts w:ascii="Calibri" w:hAnsi="Calibri"/>
          <w:b w:val="0"/>
        </w:rPr>
        <w:t>Server: Node.js 18.18 or later (tested on 18, 20 and 22) on Linux, macOS or Windows; no runtime npm dependencies.</w:t>
      </w:r>
    </w:p>
    <w:p>
      <w:pPr>
        <w:pStyle w:val="ListBullet"/>
        <w:spacing w:after="40"/>
      </w:pPr>
      <w:r>
        <w:rPr>
          <w:rFonts w:ascii="Calibri" w:hAnsi="Calibri"/>
          <w:b w:val="0"/>
        </w:rPr>
        <w:t>Client: current Chrome, Edge, Firefox or Safari.</w:t>
      </w:r>
    </w:p>
    <w:p>
      <w:pPr>
        <w:pStyle w:val="ListBullet"/>
        <w:spacing w:after="40"/>
      </w:pPr>
      <w:r>
        <w:rPr>
          <w:rFonts w:ascii="Calibri" w:hAnsi="Calibri"/>
          <w:b w:val="0"/>
        </w:rPr>
        <w:t>Barcode scanners: any USB or Bluetooth scanner in keyboard (HID) mode that reads Code 128.</w:t>
      </w:r>
    </w:p>
    <w:p>
      <w:pPr>
        <w:pStyle w:val="Heading2"/>
      </w:pPr>
      <w:r>
        <w:rPr>
          <w:rFonts w:ascii="Calibri" w:hAnsi="Calibri"/>
          <w:b/>
          <w:color w:val="1F3B63"/>
        </w:rPr>
        <w:t>2.5 Constraints</w:t>
      </w:r>
    </w:p>
    <w:p>
      <w:pPr>
        <w:pStyle w:val="ListBullet"/>
        <w:spacing w:after="40"/>
      </w:pPr>
      <w:r>
        <w:rPr>
          <w:rFonts w:ascii="Calibri" w:hAnsi="Calibri"/>
          <w:b w:val="0"/>
        </w:rPr>
        <w:t>Align asset and license records with ISO/IEC 19770-1 practices.</w:t>
      </w:r>
    </w:p>
    <w:p>
      <w:pPr>
        <w:pStyle w:val="ListBullet"/>
        <w:spacing w:after="40"/>
      </w:pPr>
      <w:r>
        <w:rPr>
          <w:rFonts w:ascii="Calibri" w:hAnsi="Calibri"/>
          <w:b w:val="0"/>
        </w:rPr>
        <w:t>Privacy: agents report installed software names, versions and publishers only; no personal files or browsing data are collected.</w:t>
      </w:r>
    </w:p>
    <w:p>
      <w:pPr>
        <w:pStyle w:val="ListBullet"/>
        <w:spacing w:after="40"/>
      </w:pPr>
      <w:r>
        <w:rPr>
          <w:rFonts w:ascii="Calibri" w:hAnsi="Calibri"/>
          <w:b w:val="0"/>
        </w:rPr>
        <w:t>Secrets (JWT key, license-key encryption key, agent key, backup key) are supplied through environment variables and are mandatory in production mode.</w:t>
      </w:r>
    </w:p>
    <w:p>
      <w:pPr>
        <w:pStyle w:val="ListBullet"/>
        <w:spacing w:after="40"/>
      </w:pPr>
      <w:r>
        <w:rPr>
          <w:rFonts w:ascii="Calibri" w:hAnsi="Calibri"/>
          <w:b w:val="0"/>
        </w:rPr>
        <w:t>Single-node deployment; the data set must fit in memory (see IT-NF-003 for the verified size).</w:t>
      </w:r>
    </w:p>
    <w:p>
      <w:pPr>
        <w:pStyle w:val="Heading1"/>
        <w:pBdr>
          <w:bottom w:val="single" w:sz="6" w:space="4" w:color="C9D2DD"/>
        </w:pBdr>
      </w:pPr>
      <w:r>
        <w:rPr>
          <w:rFonts w:ascii="Calibri" w:hAnsi="Calibri"/>
          <w:b/>
          <w:color w:val="1F3B63"/>
        </w:rPr>
        <w:t>3. External interface requirements</w:t>
      </w:r>
    </w:p>
    <w:p>
      <w:pPr>
        <w:pStyle w:val="Heading2"/>
      </w:pPr>
      <w:r>
        <w:rPr>
          <w:rFonts w:ascii="Calibri" w:hAnsi="Calibri"/>
          <w:b/>
          <w:color w:val="1F3B63"/>
        </w:rPr>
        <w:t>3.1 User interfaces</w:t>
      </w:r>
    </w:p>
    <w:p>
      <w:pPr>
        <w:pStyle w:val="ListBullet"/>
        <w:spacing w:after="40"/>
      </w:pPr>
      <w:r>
        <w:rPr>
          <w:rFonts w:ascii="Calibri" w:hAnsi="Calibri"/>
          <w:b w:val="0"/>
        </w:rPr>
        <w:t>Responsive browser dashboard (</w:t>
      </w:r>
      <w:r>
        <w:rPr>
          <w:rFonts w:ascii="Consolas" w:hAnsi="Consolas" w:eastAsia="Consolas"/>
          <w:b w:val="0"/>
          <w:sz w:val="19"/>
        </w:rPr>
        <w:t>/</w:t>
      </w:r>
      <w:r>
        <w:rPr>
          <w:rFonts w:ascii="Calibri" w:hAnsi="Calibri"/>
          <w:b w:val="0"/>
        </w:rPr>
        <w:t>) with a sidebar application shell and six role-aware views: Overview (stat tiles, fleet-status chart, compliance meter, seat utilisation, recent alerts, items awaiting the user's action), Hardware assets (searchable, filterable table with an asset detail panel showing the barcode label, depreciation, assignment and maintenance history, and check-out / check-in / maintenance actions), Software licenses (seat meters, masked keys, expiry badges), Procurement (requests with an approval stepper and approve / reject / purchase-order / delivery actions), Compliance (reconciliation table, incidents, audit-chain status, report downloads) and Alerts. Navigation and actions shown depend on the user's role; the server enforces every permission regardless.</w:t>
      </w:r>
    </w:p>
    <w:p>
      <w:pPr>
        <w:pStyle w:val="ListBullet"/>
        <w:spacing w:after="40"/>
      </w:pPr>
      <w:r>
        <w:rPr>
          <w:rFonts w:ascii="Calibri" w:hAnsi="Calibri"/>
          <w:b w:val="0"/>
        </w:rPr>
        <w:t xml:space="preserve">Global asset-tag search box that also accepts input from a barcode scanner (keyboard shortcut </w:t>
      </w:r>
      <w:r>
        <w:rPr>
          <w:rFonts w:ascii="Consolas" w:hAnsi="Consolas" w:eastAsia="Consolas"/>
          <w:b w:val="0"/>
          <w:sz w:val="19"/>
        </w:rPr>
        <w:t>/</w:t>
      </w:r>
      <w:r>
        <w:rPr>
          <w:rFonts w:ascii="Calibri" w:hAnsi="Calibri"/>
          <w:b w:val="0"/>
        </w:rPr>
        <w:t>).</w:t>
      </w:r>
    </w:p>
    <w:p>
      <w:pPr>
        <w:pStyle w:val="ListBullet"/>
        <w:spacing w:after="40"/>
      </w:pPr>
      <w:r>
        <w:rPr>
          <w:rFonts w:ascii="Calibri" w:hAnsi="Calibri"/>
          <w:b w:val="0"/>
        </w:rPr>
        <w:t>Light and dark themes following the operating-system setting, with an in-app toggle; layout adapts down to phone width.</w:t>
      </w:r>
    </w:p>
    <w:p>
      <w:pPr>
        <w:pStyle w:val="ListBullet"/>
        <w:spacing w:after="40"/>
      </w:pPr>
      <w:r>
        <w:rPr>
          <w:rFonts w:ascii="Calibri" w:hAnsi="Calibri"/>
          <w:b w:val="0"/>
        </w:rPr>
        <w:t>Accessibility: WCAG 2.1 AA practices (labels, skip link, landmarks, live status region, keyboard-operable dialogs, 4.5:1 text contrast and 3:1 graphics contrast in both themes); see IT-NF-005.</w:t>
      </w:r>
    </w:p>
    <w:p>
      <w:pPr>
        <w:pStyle w:val="Heading2"/>
      </w:pPr>
      <w:r>
        <w:rPr>
          <w:rFonts w:ascii="Calibri" w:hAnsi="Calibri"/>
          <w:b/>
          <w:color w:val="1F3B63"/>
        </w:rPr>
        <w:t>3.2 Hardware interfaces</w:t>
      </w:r>
    </w:p>
    <w:p>
      <w:pPr>
        <w:pStyle w:val="ListBullet"/>
        <w:spacing w:after="40"/>
      </w:pPr>
      <w:r>
        <w:rPr>
          <w:rFonts w:ascii="Calibri" w:hAnsi="Calibri"/>
          <w:b w:val="0"/>
        </w:rPr>
        <w:t>Barcode scanners in HID keyboard mode: the scanner types the asset tag into the scan box; labels use Code 128 (code set B).</w:t>
      </w:r>
    </w:p>
    <w:p>
      <w:pPr>
        <w:pStyle w:val="ListBullet"/>
        <w:spacing w:after="40"/>
      </w:pPr>
      <w:r>
        <w:rPr>
          <w:rFonts w:ascii="Calibri" w:hAnsi="Calibri"/>
          <w:b w:val="0"/>
        </w:rPr>
        <w:t>Label printers: labels are SVG and print at any size.</w:t>
      </w:r>
    </w:p>
    <w:p>
      <w:pPr>
        <w:pStyle w:val="Heading2"/>
      </w:pPr>
      <w:r>
        <w:rPr>
          <w:rFonts w:ascii="Calibri" w:hAnsi="Calibri"/>
          <w:b/>
          <w:color w:val="1F3B63"/>
        </w:rPr>
        <w:t>3.3 Software interfaces</w:t>
      </w:r>
    </w:p>
    <w:p>
      <w:pPr>
        <w:pStyle w:val="ListBullet"/>
        <w:spacing w:after="40"/>
      </w:pPr>
      <w:r>
        <w:rPr>
          <w:rFonts w:ascii="Calibri" w:hAnsi="Calibri"/>
          <w:b/>
        </w:rPr>
        <w:t>REST API</w:t>
      </w:r>
      <w:r>
        <w:rPr>
          <w:rFonts w:ascii="Calibri" w:hAnsi="Calibri"/>
          <w:b w:val="0"/>
        </w:rPr>
        <w:t xml:space="preserve"> (</w:t>
      </w:r>
      <w:r>
        <w:rPr>
          <w:rFonts w:ascii="Consolas" w:hAnsi="Consolas" w:eastAsia="Consolas"/>
          <w:b w:val="0"/>
          <w:sz w:val="19"/>
        </w:rPr>
        <w:t>/api/v1/...</w:t>
      </w:r>
      <w:r>
        <w:rPr>
          <w:rFonts w:ascii="Calibri" w:hAnsi="Calibri"/>
          <w:b w:val="0"/>
        </w:rPr>
        <w:t>): JSON request and response bodies; errors as RFC 7807 problem details. Defined in SAD section 4.3.</w:t>
      </w:r>
    </w:p>
    <w:p>
      <w:pPr>
        <w:pStyle w:val="ListBullet"/>
        <w:spacing w:after="40"/>
      </w:pPr>
      <w:r>
        <w:rPr>
          <w:rFonts w:ascii="Calibri" w:hAnsi="Calibri"/>
          <w:b/>
        </w:rPr>
        <w:t>Endpoint agent API</w:t>
      </w:r>
      <w:r>
        <w:rPr>
          <w:rFonts w:ascii="Calibri" w:hAnsi="Calibri"/>
          <w:b w:val="0"/>
        </w:rPr>
        <w:t xml:space="preserve"> (</w:t>
      </w:r>
      <w:r>
        <w:rPr>
          <w:rFonts w:ascii="Consolas" w:hAnsi="Consolas" w:eastAsia="Consolas"/>
          <w:b w:val="0"/>
          <w:sz w:val="19"/>
        </w:rPr>
        <w:t>POST /api/v1/telemetry/manifest</w:t>
      </w:r>
      <w:r>
        <w:rPr>
          <w:rFonts w:ascii="Calibri" w:hAnsi="Calibri"/>
          <w:b w:val="0"/>
        </w:rPr>
        <w:t xml:space="preserve">): authenticated with the </w:t>
      </w:r>
      <w:r>
        <w:rPr>
          <w:rFonts w:ascii="Consolas" w:hAnsi="Consolas" w:eastAsia="Consolas"/>
          <w:b w:val="0"/>
          <w:sz w:val="19"/>
        </w:rPr>
        <w:t>X-Agent-Key</w:t>
      </w:r>
      <w:r>
        <w:rPr>
          <w:rFonts w:ascii="Calibri" w:hAnsi="Calibri"/>
          <w:b w:val="0"/>
        </w:rPr>
        <w:t xml:space="preserve"> header.</w:t>
      </w:r>
    </w:p>
    <w:p>
      <w:pPr>
        <w:pStyle w:val="ListBullet"/>
        <w:spacing w:after="40"/>
      </w:pPr>
      <w:r>
        <w:rPr>
          <w:rFonts w:ascii="Calibri" w:hAnsi="Calibri"/>
          <w:b/>
        </w:rPr>
        <w:t>Exports:</w:t>
      </w:r>
      <w:r>
        <w:rPr>
          <w:rFonts w:ascii="Calibri" w:hAnsi="Calibri"/>
          <w:b w:val="0"/>
        </w:rPr>
        <w:t xml:space="preserve"> compliance report as JSON or CSV.</w:t>
      </w:r>
    </w:p>
    <w:p>
      <w:pPr>
        <w:pStyle w:val="Heading2"/>
      </w:pPr>
      <w:r>
        <w:rPr>
          <w:rFonts w:ascii="Calibri" w:hAnsi="Calibri"/>
          <w:b/>
          <w:color w:val="1F3B63"/>
        </w:rPr>
        <w:t>3.4 Communications interfaces</w:t>
      </w:r>
    </w:p>
    <w:p>
      <w:pPr>
        <w:pStyle w:val="ListBullet"/>
        <w:spacing w:after="40"/>
      </w:pPr>
      <w:r>
        <w:rPr>
          <w:rFonts w:ascii="Calibri" w:hAnsi="Calibri"/>
          <w:b w:val="0"/>
        </w:rPr>
        <w:t>HTTPS with TLS 1.3 when a certificate is configured, plus an optional HTTP listener that only redirects to HTTPS (PRJ-SR-001). Without a certificate the service must run behind a TLS-terminating proxy.</w:t>
      </w:r>
    </w:p>
    <w:p>
      <w:pPr>
        <w:pStyle w:val="ListBullet"/>
        <w:spacing w:after="40"/>
      </w:pPr>
      <w:r>
        <w:rPr>
          <w:rFonts w:ascii="Calibri" w:hAnsi="Calibri"/>
          <w:b w:val="0"/>
        </w:rPr>
        <w:t xml:space="preserve">Health endpoints </w:t>
      </w:r>
      <w:r>
        <w:rPr>
          <w:rFonts w:ascii="Consolas" w:hAnsi="Consolas" w:eastAsia="Consolas"/>
          <w:b w:val="0"/>
          <w:sz w:val="19"/>
        </w:rPr>
        <w:t>/health/live</w:t>
      </w:r>
      <w:r>
        <w:rPr>
          <w:rFonts w:ascii="Calibri" w:hAnsi="Calibri"/>
          <w:b w:val="0"/>
        </w:rPr>
        <w:t xml:space="preserve"> and </w:t>
      </w:r>
      <w:r>
        <w:rPr>
          <w:rFonts w:ascii="Consolas" w:hAnsi="Consolas" w:eastAsia="Consolas"/>
          <w:b w:val="0"/>
          <w:sz w:val="19"/>
        </w:rPr>
        <w:t>/health/ready</w:t>
      </w:r>
      <w:r>
        <w:rPr>
          <w:rFonts w:ascii="Calibri" w:hAnsi="Calibri"/>
          <w:b w:val="0"/>
        </w:rPr>
        <w:t xml:space="preserve"> for load balancers and orchestrators.</w:t>
      </w:r>
    </w:p>
    <w:p>
      <w:pPr>
        <w:pStyle w:val="Heading1"/>
        <w:pBdr>
          <w:bottom w:val="single" w:sz="6" w:space="4" w:color="C9D2DD"/>
        </w:pBdr>
      </w:pPr>
      <w:r>
        <w:rPr>
          <w:rFonts w:ascii="Calibri" w:hAnsi="Calibri"/>
          <w:b/>
          <w:color w:val="1F3B63"/>
        </w:rPr>
        <w:t>4. System features (detailed)</w:t>
      </w:r>
    </w:p>
    <w:p>
      <w:pPr>
        <w:jc w:val="both"/>
      </w:pPr>
      <w:r>
        <w:rPr>
          <w:rFonts w:ascii="Calibri" w:hAnsi="Calibri"/>
          <w:b w:val="0"/>
        </w:rPr>
        <w:t>Each requirement includes acceptance criteria and a reference test case. IDs follow IT-F-###. The system defines 16 functional requirements (template minimum: 15).</w:t>
      </w:r>
    </w:p>
    <w:p>
      <w:pPr>
        <w:pStyle w:val="Heading2"/>
      </w:pPr>
      <w:r>
        <w:rPr>
          <w:rFonts w:ascii="Calibri" w:hAnsi="Calibri"/>
          <w:b/>
          <w:color w:val="1F3B63"/>
        </w:rPr>
        <w:t>4.1 Hardware asset lifecycle</w:t>
      </w:r>
    </w:p>
    <w:p>
      <w:pPr>
        <w:jc w:val="both"/>
      </w:pPr>
      <w:r>
        <w:rPr>
          <w:rFonts w:ascii="Calibri" w:hAnsi="Calibri"/>
          <w:b w:val="0"/>
        </w:rPr>
        <w:t>Description: track each device from registration to disposal.</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20"/>
        <w:gridCol w:w="2858"/>
        <w:gridCol w:w="520"/>
        <w:gridCol w:w="520"/>
        <w:gridCol w:w="520"/>
        <w:gridCol w:w="3760"/>
        <w:gridCol w:w="763"/>
      </w:tblGrid>
      <w:tr>
        <w:trPr>
          <w:tblHeader w:val="true"/>
        </w:trPr>
        <w:tc>
          <w:tcPr>
            <w:shd w:val="clear" w:color="auto" w:fill="1F3B63"/>
            <w:tcW w:w="520" w:type="dxa"/>
          </w:tcPr>
          <w:p>
            <w:pPr>
              <w:spacing w:after="20" w:before="20"/>
            </w:pPr>
            <w:r>
              <w:rPr>
                <w:b/>
                <w:color w:val="FFFFFF"/>
                <w:sz w:val="16"/>
              </w:rPr>
              <w:t>Req ID</w:t>
            </w:r>
          </w:p>
        </w:tc>
        <w:tc>
          <w:tcPr>
            <w:shd w:val="clear" w:color="auto" w:fill="1F3B63"/>
            <w:tcW w:w="2858" w:type="dxa"/>
          </w:tcPr>
          <w:p>
            <w:pPr>
              <w:spacing w:after="20" w:before="20"/>
            </w:pPr>
            <w:r>
              <w:rPr>
                <w:b/>
                <w:color w:val="FFFFFF"/>
                <w:sz w:val="16"/>
              </w:rPr>
              <w:t>Requirement (The system shall...)</w:t>
            </w:r>
          </w:p>
        </w:tc>
        <w:tc>
          <w:tcPr>
            <w:shd w:val="clear" w:color="auto" w:fill="1F3B63"/>
            <w:tcW w:w="520" w:type="dxa"/>
          </w:tcPr>
          <w:p>
            <w:pPr>
              <w:spacing w:after="20" w:before="20"/>
            </w:pPr>
            <w:r>
              <w:rPr>
                <w:b/>
                <w:color w:val="FFFFFF"/>
                <w:sz w:val="16"/>
              </w:rPr>
              <w:t>Type</w:t>
            </w:r>
          </w:p>
        </w:tc>
        <w:tc>
          <w:tcPr>
            <w:shd w:val="clear" w:color="auto" w:fill="1F3B63"/>
            <w:tcW w:w="520" w:type="dxa"/>
          </w:tcPr>
          <w:p>
            <w:pPr>
              <w:spacing w:after="20" w:before="20"/>
            </w:pPr>
            <w:r>
              <w:rPr>
                <w:b/>
                <w:color w:val="FFFFFF"/>
                <w:sz w:val="16"/>
              </w:rPr>
              <w:t>Priority</w:t>
            </w:r>
          </w:p>
        </w:tc>
        <w:tc>
          <w:tcPr>
            <w:shd w:val="clear" w:color="auto" w:fill="1F3B63"/>
            <w:tcW w:w="520" w:type="dxa"/>
          </w:tcPr>
          <w:p>
            <w:pPr>
              <w:spacing w:after="20" w:before="20"/>
            </w:pPr>
            <w:r>
              <w:rPr>
                <w:b/>
                <w:color w:val="FFFFFF"/>
                <w:sz w:val="16"/>
              </w:rPr>
              <w:t>Source / Stakeholder</w:t>
            </w:r>
          </w:p>
        </w:tc>
        <w:tc>
          <w:tcPr>
            <w:shd w:val="clear" w:color="auto" w:fill="1F3B63"/>
            <w:tcW w:w="3760" w:type="dxa"/>
          </w:tcPr>
          <w:p>
            <w:pPr>
              <w:spacing w:after="20" w:before="20"/>
            </w:pPr>
            <w:r>
              <w:rPr>
                <w:b/>
                <w:color w:val="FFFFFF"/>
                <w:sz w:val="16"/>
              </w:rPr>
              <w:t>Acceptance criteria / Test case ref</w:t>
            </w:r>
          </w:p>
        </w:tc>
        <w:tc>
          <w:tcPr>
            <w:shd w:val="clear" w:color="auto" w:fill="1F3B63"/>
            <w:tcW w:w="763" w:type="dxa"/>
          </w:tcPr>
          <w:p>
            <w:pPr>
              <w:spacing w:after="20" w:before="20"/>
            </w:pPr>
            <w:r>
              <w:rPr>
                <w:b/>
                <w:color w:val="FFFFFF"/>
                <w:sz w:val="16"/>
              </w:rPr>
              <w:t>Comments / Dependencies</w:t>
            </w:r>
          </w:p>
        </w:tc>
      </w:tr>
      <w:tr>
        <w:tc>
          <w:tcPr>
            <w:tcW w:w="520" w:type="dxa"/>
          </w:tcPr>
          <w:p>
            <w:pPr>
              <w:spacing w:after="20" w:before="20" w:line="240" w:lineRule="auto"/>
            </w:pPr>
            <w:r>
              <w:rPr>
                <w:rFonts w:ascii="Calibri" w:hAnsi="Calibri"/>
                <w:b/>
                <w:sz w:val="16"/>
              </w:rPr>
              <w:t>IT-F-001</w:t>
            </w:r>
          </w:p>
        </w:tc>
        <w:tc>
          <w:tcPr>
            <w:tcW w:w="2858" w:type="dxa"/>
          </w:tcPr>
          <w:p>
            <w:pPr>
              <w:spacing w:after="20" w:before="20" w:line="240" w:lineRule="auto"/>
            </w:pPr>
            <w:r>
              <w:rPr>
                <w:rFonts w:ascii="Calibri" w:hAnsi="Calibri"/>
                <w:b w:val="0"/>
                <w:sz w:val="16"/>
              </w:rPr>
              <w:t>allow administrators to register a hardware asset with serial number (required), optional asset tag, manufacturer, model, category, purchase date and cost, warranty expiry, MAC address and specifications.</w:t>
            </w:r>
          </w:p>
        </w:tc>
        <w:tc>
          <w:tcPr>
            <w:tcW w:w="520" w:type="dxa"/>
          </w:tcPr>
          <w:p>
            <w:pPr>
              <w:spacing w:after="20" w:before="20" w:line="240" w:lineRule="auto"/>
            </w:pPr>
            <w:r>
              <w:rPr>
                <w:rFonts w:ascii="Calibri" w:hAnsi="Calibri"/>
                <w:b w:val="0"/>
                <w:sz w:val="16"/>
              </w:rPr>
              <w:t>Functional</w:t>
            </w:r>
          </w:p>
        </w:tc>
        <w:tc>
          <w:tcPr>
            <w:tcW w:w="520" w:type="dxa"/>
          </w:tcPr>
          <w:p>
            <w:pPr>
              <w:spacing w:after="20" w:before="20" w:line="240" w:lineRule="auto"/>
            </w:pPr>
            <w:r>
              <w:rPr>
                <w:rFonts w:ascii="Calibri" w:hAnsi="Calibri"/>
                <w:b w:val="0"/>
                <w:sz w:val="16"/>
              </w:rPr>
              <w:t>High</w:t>
            </w:r>
          </w:p>
        </w:tc>
        <w:tc>
          <w:tcPr>
            <w:tcW w:w="520" w:type="dxa"/>
          </w:tcPr>
          <w:p>
            <w:pPr>
              <w:spacing w:after="20" w:before="20" w:line="240" w:lineRule="auto"/>
            </w:pPr>
            <w:r>
              <w:rPr>
                <w:rFonts w:ascii="Calibri" w:hAnsi="Calibri"/>
                <w:b w:val="0"/>
                <w:sz w:val="16"/>
              </w:rPr>
              <w:t>IT Administrator</w:t>
            </w:r>
          </w:p>
        </w:tc>
        <w:tc>
          <w:tcPr>
            <w:tcW w:w="3760" w:type="dxa"/>
          </w:tcPr>
          <w:p>
            <w:pPr>
              <w:spacing w:after="20" w:before="20" w:line="240" w:lineRule="auto"/>
            </w:pPr>
            <w:r>
              <w:rPr>
                <w:rFonts w:ascii="Calibri" w:hAnsi="Calibri"/>
                <w:b w:val="0"/>
                <w:sz w:val="16"/>
              </w:rPr>
              <w:t xml:space="preserve">AC-IT-F-001: Valid request returns 201 with status </w:t>
            </w:r>
            <w:r>
              <w:rPr>
                <w:rFonts w:ascii="Consolas" w:hAnsi="Consolas" w:eastAsia="Consolas"/>
                <w:b w:val="0"/>
                <w:sz w:val="15"/>
              </w:rPr>
              <w:t>AVAILABLE</w:t>
            </w:r>
            <w:r>
              <w:rPr>
                <w:rFonts w:ascii="Calibri" w:hAnsi="Calibri"/>
                <w:b w:val="0"/>
                <w:sz w:val="16"/>
              </w:rPr>
              <w:t xml:space="preserve">; a unique tag </w:t>
            </w:r>
            <w:r>
              <w:rPr>
                <w:rFonts w:ascii="Consolas" w:hAnsi="Consolas" w:eastAsia="Consolas"/>
                <w:b w:val="0"/>
                <w:sz w:val="15"/>
              </w:rPr>
              <w:t>HW-YYYY-NNNNNN</w:t>
            </w:r>
            <w:r>
              <w:rPr>
                <w:rFonts w:ascii="Calibri" w:hAnsi="Calibri"/>
                <w:b w:val="0"/>
                <w:sz w:val="16"/>
              </w:rPr>
              <w:t xml:space="preserve"> is generated when none is given; duplicate tag, serial or MAC returns 409; invalid data returns 400; non-admin roles get 403. Test: TC-HAM-01</w:t>
            </w:r>
          </w:p>
        </w:tc>
        <w:tc>
          <w:tcPr>
            <w:tcW w:w="763" w:type="dxa"/>
          </w:tcPr>
          <w:p>
            <w:pPr>
              <w:spacing w:after="20" w:before="20" w:line="240" w:lineRule="auto"/>
            </w:pPr>
            <w:r>
              <w:rPr>
                <w:rFonts w:ascii="Calibri" w:hAnsi="Calibri"/>
                <w:b w:val="0"/>
                <w:sz w:val="16"/>
              </w:rPr>
              <w:t>Foundation for all other HAM features</w:t>
            </w:r>
          </w:p>
        </w:tc>
      </w:tr>
      <w:tr>
        <w:tc>
          <w:tcPr>
            <w:shd w:val="clear" w:color="auto" w:fill="F7F9FC"/>
            <w:tcW w:w="520" w:type="dxa"/>
          </w:tcPr>
          <w:p>
            <w:pPr>
              <w:spacing w:after="20" w:before="20" w:line="240" w:lineRule="auto"/>
            </w:pPr>
            <w:r>
              <w:rPr>
                <w:rFonts w:ascii="Calibri" w:hAnsi="Calibri"/>
                <w:b/>
                <w:sz w:val="16"/>
              </w:rPr>
              <w:t>IT-F-002</w:t>
            </w:r>
          </w:p>
        </w:tc>
        <w:tc>
          <w:tcPr>
            <w:shd w:val="clear" w:color="auto" w:fill="F7F9FC"/>
            <w:tcW w:w="2858" w:type="dxa"/>
          </w:tcPr>
          <w:p>
            <w:pPr>
              <w:spacing w:after="20" w:before="20" w:line="240" w:lineRule="auto"/>
            </w:pPr>
            <w:r>
              <w:rPr>
                <w:rFonts w:ascii="Calibri" w:hAnsi="Calibri"/>
                <w:b w:val="0"/>
                <w:sz w:val="16"/>
              </w:rPr>
              <w:t>support check-out of an available asset to an active employee and check-in, recording the assignment history.</w:t>
            </w:r>
          </w:p>
        </w:tc>
        <w:tc>
          <w:tcPr>
            <w:shd w:val="clear" w:color="auto" w:fill="F7F9FC"/>
            <w:tcW w:w="520" w:type="dxa"/>
          </w:tcPr>
          <w:p>
            <w:pPr>
              <w:spacing w:after="20" w:before="20" w:line="240" w:lineRule="auto"/>
            </w:pPr>
            <w:r>
              <w:rPr>
                <w:rFonts w:ascii="Calibri" w:hAnsi="Calibri"/>
                <w:b w:val="0"/>
                <w:sz w:val="16"/>
              </w:rPr>
              <w:t>Functional</w:t>
            </w:r>
          </w:p>
        </w:tc>
        <w:tc>
          <w:tcPr>
            <w:shd w:val="clear" w:color="auto" w:fill="F7F9FC"/>
            <w:tcW w:w="520" w:type="dxa"/>
          </w:tcPr>
          <w:p>
            <w:pPr>
              <w:spacing w:after="20" w:before="20" w:line="240" w:lineRule="auto"/>
            </w:pPr>
            <w:r>
              <w:rPr>
                <w:rFonts w:ascii="Calibri" w:hAnsi="Calibri"/>
                <w:b w:val="0"/>
                <w:sz w:val="16"/>
              </w:rPr>
              <w:t>High</w:t>
            </w:r>
          </w:p>
        </w:tc>
        <w:tc>
          <w:tcPr>
            <w:shd w:val="clear" w:color="auto" w:fill="F7F9FC"/>
            <w:tcW w:w="520" w:type="dxa"/>
          </w:tcPr>
          <w:p>
            <w:pPr>
              <w:spacing w:after="20" w:before="20" w:line="240" w:lineRule="auto"/>
            </w:pPr>
            <w:r>
              <w:rPr>
                <w:rFonts w:ascii="Calibri" w:hAnsi="Calibri"/>
                <w:b w:val="0"/>
                <w:sz w:val="16"/>
              </w:rPr>
              <w:t>IT Technician</w:t>
            </w:r>
          </w:p>
        </w:tc>
        <w:tc>
          <w:tcPr>
            <w:shd w:val="clear" w:color="auto" w:fill="F7F9FC"/>
            <w:tcW w:w="3760" w:type="dxa"/>
          </w:tcPr>
          <w:p>
            <w:pPr>
              <w:spacing w:after="20" w:before="20" w:line="240" w:lineRule="auto"/>
            </w:pPr>
            <w:r>
              <w:rPr>
                <w:rFonts w:ascii="Calibri" w:hAnsi="Calibri"/>
                <w:b w:val="0"/>
                <w:sz w:val="16"/>
              </w:rPr>
              <w:t xml:space="preserve">AC-IT-F-002: Check-out sets </w:t>
            </w:r>
            <w:r>
              <w:rPr>
                <w:rFonts w:ascii="Consolas" w:hAnsi="Consolas" w:eastAsia="Consolas"/>
                <w:b w:val="0"/>
                <w:sz w:val="15"/>
              </w:rPr>
              <w:t>IN_USE</w:t>
            </w:r>
            <w:r>
              <w:rPr>
                <w:rFonts w:ascii="Calibri" w:hAnsi="Calibri"/>
                <w:b w:val="0"/>
                <w:sz w:val="16"/>
              </w:rPr>
              <w:t xml:space="preserve"> and the employee ID; checking out an asset that is not </w:t>
            </w:r>
            <w:r>
              <w:rPr>
                <w:rFonts w:ascii="Consolas" w:hAnsi="Consolas" w:eastAsia="Consolas"/>
                <w:b w:val="0"/>
                <w:sz w:val="15"/>
              </w:rPr>
              <w:t>AVAILABLE</w:t>
            </w:r>
            <w:r>
              <w:rPr>
                <w:rFonts w:ascii="Calibri" w:hAnsi="Calibri"/>
                <w:b w:val="0"/>
                <w:sz w:val="16"/>
              </w:rPr>
              <w:t xml:space="preserve"> returns 409; unknown employee returns 404; check-in restores </w:t>
            </w:r>
            <w:r>
              <w:rPr>
                <w:rFonts w:ascii="Consolas" w:hAnsi="Consolas" w:eastAsia="Consolas"/>
                <w:b w:val="0"/>
                <w:sz w:val="15"/>
              </w:rPr>
              <w:t>AVAILABLE</w:t>
            </w:r>
            <w:r>
              <w:rPr>
                <w:rFonts w:ascii="Calibri" w:hAnsi="Calibri"/>
                <w:b w:val="0"/>
                <w:sz w:val="16"/>
              </w:rPr>
              <w:t xml:space="preserve"> and closes the history entry. Test: TC-HAM-02</w:t>
            </w:r>
          </w:p>
        </w:tc>
        <w:tc>
          <w:tcPr>
            <w:shd w:val="clear" w:color="auto" w:fill="F7F9FC"/>
            <w:tcW w:w="763" w:type="dxa"/>
          </w:tcPr>
          <w:p>
            <w:pPr>
              <w:spacing w:after="20" w:before="20" w:line="240" w:lineRule="auto"/>
            </w:pPr>
            <w:r>
              <w:rPr>
                <w:rFonts w:ascii="Calibri" w:hAnsi="Calibri"/>
                <w:b w:val="0"/>
                <w:sz w:val="16"/>
              </w:rPr>
              <w:t>Depends on IT-F-001 and the user directory</w:t>
            </w:r>
          </w:p>
        </w:tc>
      </w:tr>
      <w:tr>
        <w:tc>
          <w:tcPr>
            <w:tcW w:w="520" w:type="dxa"/>
          </w:tcPr>
          <w:p>
            <w:pPr>
              <w:spacing w:after="20" w:before="20" w:line="240" w:lineRule="auto"/>
            </w:pPr>
            <w:r>
              <w:rPr>
                <w:rFonts w:ascii="Calibri" w:hAnsi="Calibri"/>
                <w:b/>
                <w:sz w:val="16"/>
              </w:rPr>
              <w:t>IT-F-003</w:t>
            </w:r>
          </w:p>
        </w:tc>
        <w:tc>
          <w:tcPr>
            <w:tcW w:w="2858" w:type="dxa"/>
          </w:tcPr>
          <w:p>
            <w:pPr>
              <w:spacing w:after="20" w:before="20" w:line="240" w:lineRule="auto"/>
            </w:pPr>
            <w:r>
              <w:rPr>
                <w:rFonts w:ascii="Calibri" w:hAnsi="Calibri"/>
                <w:b w:val="0"/>
                <w:sz w:val="16"/>
              </w:rPr>
              <w:t>generate a printable Code 128 barcode label for each asset and resolve a scanned asset tag to the asset record.</w:t>
            </w:r>
          </w:p>
        </w:tc>
        <w:tc>
          <w:tcPr>
            <w:tcW w:w="520" w:type="dxa"/>
          </w:tcPr>
          <w:p>
            <w:pPr>
              <w:spacing w:after="20" w:before="20" w:line="240" w:lineRule="auto"/>
            </w:pPr>
            <w:r>
              <w:rPr>
                <w:rFonts w:ascii="Calibri" w:hAnsi="Calibri"/>
                <w:b w:val="0"/>
                <w:sz w:val="16"/>
              </w:rPr>
              <w:t>Functional</w:t>
            </w:r>
          </w:p>
        </w:tc>
        <w:tc>
          <w:tcPr>
            <w:tcW w:w="520" w:type="dxa"/>
          </w:tcPr>
          <w:p>
            <w:pPr>
              <w:spacing w:after="20" w:before="20" w:line="240" w:lineRule="auto"/>
            </w:pPr>
            <w:r>
              <w:rPr>
                <w:rFonts w:ascii="Calibri" w:hAnsi="Calibri"/>
                <w:b w:val="0"/>
                <w:sz w:val="16"/>
              </w:rPr>
              <w:t>Medium</w:t>
            </w:r>
          </w:p>
        </w:tc>
        <w:tc>
          <w:tcPr>
            <w:tcW w:w="520" w:type="dxa"/>
          </w:tcPr>
          <w:p>
            <w:pPr>
              <w:spacing w:after="20" w:before="20" w:line="240" w:lineRule="auto"/>
            </w:pPr>
            <w:r>
              <w:rPr>
                <w:rFonts w:ascii="Calibri" w:hAnsi="Calibri"/>
                <w:b w:val="0"/>
                <w:sz w:val="16"/>
              </w:rPr>
              <w:t>IT Technician</w:t>
            </w:r>
          </w:p>
        </w:tc>
        <w:tc>
          <w:tcPr>
            <w:tcW w:w="3760" w:type="dxa"/>
          </w:tcPr>
          <w:p>
            <w:pPr>
              <w:spacing w:after="20" w:before="20" w:line="240" w:lineRule="auto"/>
            </w:pPr>
            <w:r>
              <w:rPr>
                <w:rFonts w:ascii="Calibri" w:hAnsi="Calibri"/>
                <w:b w:val="0"/>
                <w:sz w:val="16"/>
              </w:rPr>
              <w:t>AC-IT-F-003: The SVG label decodes to the asset tag; tag lookup is case-insensitive and returns the asset; an unknown tag returns 404. Test: TC-HAM-03</w:t>
            </w:r>
          </w:p>
        </w:tc>
        <w:tc>
          <w:tcPr>
            <w:tcW w:w="763" w:type="dxa"/>
          </w:tcPr>
          <w:p>
            <w:pPr>
              <w:spacing w:after="20" w:before="20" w:line="240" w:lineRule="auto"/>
            </w:pPr>
            <w:r>
              <w:rPr>
                <w:rFonts w:ascii="Calibri" w:hAnsi="Calibri"/>
                <w:b w:val="0"/>
                <w:sz w:val="16"/>
              </w:rPr>
              <w:t>Scanners act as keyboards (section 3.2)</w:t>
            </w:r>
          </w:p>
        </w:tc>
      </w:tr>
      <w:tr>
        <w:tc>
          <w:tcPr>
            <w:shd w:val="clear" w:color="auto" w:fill="F7F9FC"/>
            <w:tcW w:w="520" w:type="dxa"/>
          </w:tcPr>
          <w:p>
            <w:pPr>
              <w:spacing w:after="20" w:before="20" w:line="240" w:lineRule="auto"/>
            </w:pPr>
            <w:r>
              <w:rPr>
                <w:rFonts w:ascii="Calibri" w:hAnsi="Calibri"/>
                <w:b/>
                <w:sz w:val="16"/>
              </w:rPr>
              <w:t>IT-F-004</w:t>
            </w:r>
          </w:p>
        </w:tc>
        <w:tc>
          <w:tcPr>
            <w:shd w:val="clear" w:color="auto" w:fill="F7F9FC"/>
            <w:tcW w:w="2858" w:type="dxa"/>
          </w:tcPr>
          <w:p>
            <w:pPr>
              <w:spacing w:after="20" w:before="20" w:line="240" w:lineRule="auto"/>
            </w:pPr>
            <w:r>
              <w:rPr>
                <w:rFonts w:ascii="Calibri" w:hAnsi="Calibri"/>
                <w:b w:val="0"/>
                <w:sz w:val="16"/>
              </w:rPr>
              <w:t>calculate depreciation by the straight-line (SL) or written-down-value (WDV) method as of a given date.</w:t>
            </w:r>
          </w:p>
        </w:tc>
        <w:tc>
          <w:tcPr>
            <w:shd w:val="clear" w:color="auto" w:fill="F7F9FC"/>
            <w:tcW w:w="520" w:type="dxa"/>
          </w:tcPr>
          <w:p>
            <w:pPr>
              <w:spacing w:after="20" w:before="20" w:line="240" w:lineRule="auto"/>
            </w:pPr>
            <w:r>
              <w:rPr>
                <w:rFonts w:ascii="Calibri" w:hAnsi="Calibri"/>
                <w:b w:val="0"/>
                <w:sz w:val="16"/>
              </w:rPr>
              <w:t>Functional</w:t>
            </w:r>
          </w:p>
        </w:tc>
        <w:tc>
          <w:tcPr>
            <w:shd w:val="clear" w:color="auto" w:fill="F7F9FC"/>
            <w:tcW w:w="520" w:type="dxa"/>
          </w:tcPr>
          <w:p>
            <w:pPr>
              <w:spacing w:after="20" w:before="20" w:line="240" w:lineRule="auto"/>
            </w:pPr>
            <w:r>
              <w:rPr>
                <w:rFonts w:ascii="Calibri" w:hAnsi="Calibri"/>
                <w:b w:val="0"/>
                <w:sz w:val="16"/>
              </w:rPr>
              <w:t>Medium</w:t>
            </w:r>
          </w:p>
        </w:tc>
        <w:tc>
          <w:tcPr>
            <w:shd w:val="clear" w:color="auto" w:fill="F7F9FC"/>
            <w:tcW w:w="520" w:type="dxa"/>
          </w:tcPr>
          <w:p>
            <w:pPr>
              <w:spacing w:after="20" w:before="20" w:line="240" w:lineRule="auto"/>
            </w:pPr>
            <w:r>
              <w:rPr>
                <w:rFonts w:ascii="Calibri" w:hAnsi="Calibri"/>
                <w:b w:val="0"/>
                <w:sz w:val="16"/>
              </w:rPr>
              <w:t>Finance</w:t>
            </w:r>
          </w:p>
        </w:tc>
        <w:tc>
          <w:tcPr>
            <w:shd w:val="clear" w:color="auto" w:fill="F7F9FC"/>
            <w:tcW w:w="3760" w:type="dxa"/>
          </w:tcPr>
          <w:p>
            <w:pPr>
              <w:spacing w:after="20" w:before="20" w:line="240" w:lineRule="auto"/>
            </w:pPr>
            <w:r>
              <w:rPr>
                <w:rFonts w:ascii="Calibri" w:hAnsi="Calibri"/>
                <w:b w:val="0"/>
                <w:sz w:val="16"/>
              </w:rPr>
              <w:t>AC-IT-F-004: Cost 1200, salvage 200, life 5 years, age 2 years gives 200 per year and book value 800 (SL); WDV at 25% gives 675; book value never falls below salvage; a date before purchase or invalid parameters return 400. Test: TC-HAM-04</w:t>
            </w:r>
          </w:p>
        </w:tc>
        <w:tc>
          <w:tcPr>
            <w:shd w:val="clear" w:color="auto" w:fill="F7F9FC"/>
            <w:tcW w:w="763" w:type="dxa"/>
          </w:tcPr>
          <w:p>
            <w:pPr>
              <w:spacing w:after="20" w:before="20" w:line="240" w:lineRule="auto"/>
            </w:pPr>
            <w:r>
              <w:rPr>
                <w:rFonts w:ascii="Calibri" w:hAnsi="Calibri"/>
                <w:b w:val="0"/>
                <w:sz w:val="16"/>
              </w:rPr>
              <w:t>Uses IT-F-001 purchase data</w:t>
            </w:r>
          </w:p>
        </w:tc>
      </w:tr>
    </w:tbl>
    <w:p>
      <w:pPr>
        <w:spacing w:after="80"/>
      </w:pPr>
    </w:p>
    <w:p>
      <w:pPr>
        <w:pStyle w:val="Heading2"/>
      </w:pPr>
      <w:r>
        <w:rPr>
          <w:rFonts w:ascii="Calibri" w:hAnsi="Calibri"/>
          <w:b/>
          <w:color w:val="1F3B63"/>
        </w:rPr>
        <w:t>4.2 Software license management</w:t>
      </w:r>
    </w:p>
    <w:p>
      <w:pPr>
        <w:jc w:val="both"/>
      </w:pPr>
      <w:r>
        <w:rPr>
          <w:rFonts w:ascii="Calibri" w:hAnsi="Calibri"/>
          <w:b w:val="0"/>
        </w:rPr>
        <w:t>Description: keep purchased entitlements accurate and prevent over-use.</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20"/>
        <w:gridCol w:w="2744"/>
        <w:gridCol w:w="520"/>
        <w:gridCol w:w="520"/>
        <w:gridCol w:w="520"/>
        <w:gridCol w:w="4105"/>
        <w:gridCol w:w="532"/>
      </w:tblGrid>
      <w:tr>
        <w:trPr>
          <w:tblHeader w:val="true"/>
        </w:trPr>
        <w:tc>
          <w:tcPr>
            <w:shd w:val="clear" w:color="auto" w:fill="1F3B63"/>
            <w:tcW w:w="520" w:type="dxa"/>
          </w:tcPr>
          <w:p>
            <w:pPr>
              <w:spacing w:after="20" w:before="20"/>
            </w:pPr>
            <w:r>
              <w:rPr>
                <w:b/>
                <w:color w:val="FFFFFF"/>
                <w:sz w:val="16"/>
              </w:rPr>
              <w:t>Req ID</w:t>
            </w:r>
          </w:p>
        </w:tc>
        <w:tc>
          <w:tcPr>
            <w:shd w:val="clear" w:color="auto" w:fill="1F3B63"/>
            <w:tcW w:w="2744" w:type="dxa"/>
          </w:tcPr>
          <w:p>
            <w:pPr>
              <w:spacing w:after="20" w:before="20"/>
            </w:pPr>
            <w:r>
              <w:rPr>
                <w:b/>
                <w:color w:val="FFFFFF"/>
                <w:sz w:val="16"/>
              </w:rPr>
              <w:t>Requirement (The system shall...)</w:t>
            </w:r>
          </w:p>
        </w:tc>
        <w:tc>
          <w:tcPr>
            <w:shd w:val="clear" w:color="auto" w:fill="1F3B63"/>
            <w:tcW w:w="520" w:type="dxa"/>
          </w:tcPr>
          <w:p>
            <w:pPr>
              <w:spacing w:after="20" w:before="20"/>
            </w:pPr>
            <w:r>
              <w:rPr>
                <w:b/>
                <w:color w:val="FFFFFF"/>
                <w:sz w:val="16"/>
              </w:rPr>
              <w:t>Type</w:t>
            </w:r>
          </w:p>
        </w:tc>
        <w:tc>
          <w:tcPr>
            <w:shd w:val="clear" w:color="auto" w:fill="1F3B63"/>
            <w:tcW w:w="520" w:type="dxa"/>
          </w:tcPr>
          <w:p>
            <w:pPr>
              <w:spacing w:after="20" w:before="20"/>
            </w:pPr>
            <w:r>
              <w:rPr>
                <w:b/>
                <w:color w:val="FFFFFF"/>
                <w:sz w:val="16"/>
              </w:rPr>
              <w:t>Priority</w:t>
            </w:r>
          </w:p>
        </w:tc>
        <w:tc>
          <w:tcPr>
            <w:shd w:val="clear" w:color="auto" w:fill="1F3B63"/>
            <w:tcW w:w="520" w:type="dxa"/>
          </w:tcPr>
          <w:p>
            <w:pPr>
              <w:spacing w:after="20" w:before="20"/>
            </w:pPr>
            <w:r>
              <w:rPr>
                <w:b/>
                <w:color w:val="FFFFFF"/>
                <w:sz w:val="16"/>
              </w:rPr>
              <w:t>Source / Stakeholder</w:t>
            </w:r>
          </w:p>
        </w:tc>
        <w:tc>
          <w:tcPr>
            <w:shd w:val="clear" w:color="auto" w:fill="1F3B63"/>
            <w:tcW w:w="4105" w:type="dxa"/>
          </w:tcPr>
          <w:p>
            <w:pPr>
              <w:spacing w:after="20" w:before="20"/>
            </w:pPr>
            <w:r>
              <w:rPr>
                <w:b/>
                <w:color w:val="FFFFFF"/>
                <w:sz w:val="16"/>
              </w:rPr>
              <w:t>Acceptance criteria / Test case ref</w:t>
            </w:r>
          </w:p>
        </w:tc>
        <w:tc>
          <w:tcPr>
            <w:shd w:val="clear" w:color="auto" w:fill="1F3B63"/>
            <w:tcW w:w="532" w:type="dxa"/>
          </w:tcPr>
          <w:p>
            <w:pPr>
              <w:spacing w:after="20" w:before="20"/>
            </w:pPr>
            <w:r>
              <w:rPr>
                <w:b/>
                <w:color w:val="FFFFFF"/>
                <w:sz w:val="16"/>
              </w:rPr>
              <w:t>Comments / Dependencies</w:t>
            </w:r>
          </w:p>
        </w:tc>
      </w:tr>
      <w:tr>
        <w:tc>
          <w:tcPr>
            <w:tcW w:w="520" w:type="dxa"/>
          </w:tcPr>
          <w:p>
            <w:pPr>
              <w:spacing w:after="20" w:before="20" w:line="240" w:lineRule="auto"/>
            </w:pPr>
            <w:r>
              <w:rPr>
                <w:rFonts w:ascii="Calibri" w:hAnsi="Calibri"/>
                <w:b/>
                <w:sz w:val="16"/>
              </w:rPr>
              <w:t>IT-F-005</w:t>
            </w:r>
          </w:p>
        </w:tc>
        <w:tc>
          <w:tcPr>
            <w:tcW w:w="2744" w:type="dxa"/>
          </w:tcPr>
          <w:p>
            <w:pPr>
              <w:spacing w:after="20" w:before="20" w:line="240" w:lineRule="auto"/>
            </w:pPr>
            <w:r>
              <w:rPr>
                <w:rFonts w:ascii="Calibri" w:hAnsi="Calibri"/>
                <w:b w:val="0"/>
                <w:sz w:val="16"/>
              </w:rPr>
              <w:t>maintain license pools recording software name, publisher, version, license type, total seats, validity period, cost per seat and product key.</w:t>
            </w:r>
          </w:p>
        </w:tc>
        <w:tc>
          <w:tcPr>
            <w:tcW w:w="520" w:type="dxa"/>
          </w:tcPr>
          <w:p>
            <w:pPr>
              <w:spacing w:after="20" w:before="20" w:line="240" w:lineRule="auto"/>
            </w:pPr>
            <w:r>
              <w:rPr>
                <w:rFonts w:ascii="Calibri" w:hAnsi="Calibri"/>
                <w:b w:val="0"/>
                <w:sz w:val="16"/>
              </w:rPr>
              <w:t>Functional</w:t>
            </w:r>
          </w:p>
        </w:tc>
        <w:tc>
          <w:tcPr>
            <w:tcW w:w="520" w:type="dxa"/>
          </w:tcPr>
          <w:p>
            <w:pPr>
              <w:spacing w:after="20" w:before="20" w:line="240" w:lineRule="auto"/>
            </w:pPr>
            <w:r>
              <w:rPr>
                <w:rFonts w:ascii="Calibri" w:hAnsi="Calibri"/>
                <w:b w:val="0"/>
                <w:sz w:val="16"/>
              </w:rPr>
              <w:t>High</w:t>
            </w:r>
          </w:p>
        </w:tc>
        <w:tc>
          <w:tcPr>
            <w:tcW w:w="520" w:type="dxa"/>
          </w:tcPr>
          <w:p>
            <w:pPr>
              <w:spacing w:after="20" w:before="20" w:line="240" w:lineRule="auto"/>
            </w:pPr>
            <w:r>
              <w:rPr>
                <w:rFonts w:ascii="Calibri" w:hAnsi="Calibri"/>
                <w:b w:val="0"/>
                <w:sz w:val="16"/>
              </w:rPr>
              <w:t>IT Administrator</w:t>
            </w:r>
          </w:p>
        </w:tc>
        <w:tc>
          <w:tcPr>
            <w:tcW w:w="4105" w:type="dxa"/>
          </w:tcPr>
          <w:p>
            <w:pPr>
              <w:spacing w:after="20" w:before="20" w:line="240" w:lineRule="auto"/>
            </w:pPr>
            <w:r>
              <w:rPr>
                <w:rFonts w:ascii="Calibri" w:hAnsi="Calibri"/>
                <w:b w:val="0"/>
                <w:sz w:val="16"/>
              </w:rPr>
              <w:t xml:space="preserve">AC-IT-F-005: Valid request returns 201 with </w:t>
            </w:r>
            <w:r>
              <w:rPr>
                <w:rFonts w:ascii="Consolas" w:hAnsi="Consolas" w:eastAsia="Consolas"/>
                <w:b w:val="0"/>
                <w:sz w:val="15"/>
              </w:rPr>
              <w:t>availableSeats</w:t>
            </w:r>
            <w:r>
              <w:rPr>
                <w:rFonts w:ascii="Calibri" w:hAnsi="Calibri"/>
                <w:b w:val="0"/>
                <w:sz w:val="16"/>
              </w:rPr>
              <w:t xml:space="preserve"> equal to </w:t>
            </w:r>
            <w:r>
              <w:rPr>
                <w:rFonts w:ascii="Consolas" w:hAnsi="Consolas" w:eastAsia="Consolas"/>
                <w:b w:val="0"/>
                <w:sz w:val="15"/>
              </w:rPr>
              <w:t>totalSeats</w:t>
            </w:r>
            <w:r>
              <w:rPr>
                <w:rFonts w:ascii="Calibri" w:hAnsi="Calibri"/>
                <w:b w:val="0"/>
                <w:sz w:val="16"/>
              </w:rPr>
              <w:t>; the key is returned only in masked form and stored encrypted; seat counts that are not positive integers return 400. Test: TC-SAM-01</w:t>
            </w:r>
          </w:p>
        </w:tc>
        <w:tc>
          <w:tcPr>
            <w:tcW w:w="532" w:type="dxa"/>
          </w:tcPr>
          <w:p>
            <w:pPr>
              <w:spacing w:after="20" w:before="20" w:line="240" w:lineRule="auto"/>
            </w:pPr>
            <w:r>
              <w:rPr>
                <w:rFonts w:ascii="Calibri" w:hAnsi="Calibri"/>
                <w:b w:val="0"/>
                <w:sz w:val="16"/>
              </w:rPr>
              <w:t>Key handling per PRJ-SR-003</w:t>
            </w:r>
          </w:p>
        </w:tc>
      </w:tr>
      <w:tr>
        <w:tc>
          <w:tcPr>
            <w:shd w:val="clear" w:color="auto" w:fill="F7F9FC"/>
            <w:tcW w:w="520" w:type="dxa"/>
          </w:tcPr>
          <w:p>
            <w:pPr>
              <w:spacing w:after="20" w:before="20" w:line="240" w:lineRule="auto"/>
            </w:pPr>
            <w:r>
              <w:rPr>
                <w:rFonts w:ascii="Calibri" w:hAnsi="Calibri"/>
                <w:b/>
                <w:sz w:val="16"/>
              </w:rPr>
              <w:t>IT-F-006</w:t>
            </w:r>
          </w:p>
        </w:tc>
        <w:tc>
          <w:tcPr>
            <w:shd w:val="clear" w:color="auto" w:fill="F7F9FC"/>
            <w:tcW w:w="2744" w:type="dxa"/>
          </w:tcPr>
          <w:p>
            <w:pPr>
              <w:spacing w:after="20" w:before="20" w:line="240" w:lineRule="auto"/>
            </w:pPr>
            <w:r>
              <w:rPr>
                <w:rFonts w:ascii="Calibri" w:hAnsi="Calibri"/>
                <w:b w:val="0"/>
                <w:sz w:val="16"/>
              </w:rPr>
              <w:t>allocate license seats to hardware assets and reclaim them, never allocating more seats than purchased.</w:t>
            </w:r>
          </w:p>
        </w:tc>
        <w:tc>
          <w:tcPr>
            <w:shd w:val="clear" w:color="auto" w:fill="F7F9FC"/>
            <w:tcW w:w="520" w:type="dxa"/>
          </w:tcPr>
          <w:p>
            <w:pPr>
              <w:spacing w:after="20" w:before="20" w:line="240" w:lineRule="auto"/>
            </w:pPr>
            <w:r>
              <w:rPr>
                <w:rFonts w:ascii="Calibri" w:hAnsi="Calibri"/>
                <w:b w:val="0"/>
                <w:sz w:val="16"/>
              </w:rPr>
              <w:t>Functional</w:t>
            </w:r>
          </w:p>
        </w:tc>
        <w:tc>
          <w:tcPr>
            <w:shd w:val="clear" w:color="auto" w:fill="F7F9FC"/>
            <w:tcW w:w="520" w:type="dxa"/>
          </w:tcPr>
          <w:p>
            <w:pPr>
              <w:spacing w:after="20" w:before="20" w:line="240" w:lineRule="auto"/>
            </w:pPr>
            <w:r>
              <w:rPr>
                <w:rFonts w:ascii="Calibri" w:hAnsi="Calibri"/>
                <w:b w:val="0"/>
                <w:sz w:val="16"/>
              </w:rPr>
              <w:t>High</w:t>
            </w:r>
          </w:p>
        </w:tc>
        <w:tc>
          <w:tcPr>
            <w:shd w:val="clear" w:color="auto" w:fill="F7F9FC"/>
            <w:tcW w:w="520" w:type="dxa"/>
          </w:tcPr>
          <w:p>
            <w:pPr>
              <w:spacing w:after="20" w:before="20" w:line="240" w:lineRule="auto"/>
            </w:pPr>
            <w:r>
              <w:rPr>
                <w:rFonts w:ascii="Calibri" w:hAnsi="Calibri"/>
                <w:b w:val="0"/>
                <w:sz w:val="16"/>
              </w:rPr>
              <w:t>IT Technician</w:t>
            </w:r>
          </w:p>
        </w:tc>
        <w:tc>
          <w:tcPr>
            <w:shd w:val="clear" w:color="auto" w:fill="F7F9FC"/>
            <w:tcW w:w="4105" w:type="dxa"/>
          </w:tcPr>
          <w:p>
            <w:pPr>
              <w:spacing w:after="20" w:before="20" w:line="240" w:lineRule="auto"/>
            </w:pPr>
            <w:r>
              <w:rPr>
                <w:rFonts w:ascii="Calibri" w:hAnsi="Calibri"/>
                <w:b w:val="0"/>
                <w:sz w:val="16"/>
              </w:rPr>
              <w:t>AC-IT-F-006: Each allocation decrements available seats; allocation with no seats left, a duplicate allocation, an expired license or a decommissioned asset returns 409; 10 concurrent requests for 3 seats produce exactly 3 allocations; reclaiming frees the seat. Test: TC-SAM-02</w:t>
            </w:r>
          </w:p>
        </w:tc>
        <w:tc>
          <w:tcPr>
            <w:shd w:val="clear" w:color="auto" w:fill="F7F9FC"/>
            <w:tcW w:w="532" w:type="dxa"/>
          </w:tcPr>
          <w:p>
            <w:pPr>
              <w:spacing w:after="20" w:before="20" w:line="240" w:lineRule="auto"/>
            </w:pPr>
            <w:r>
              <w:rPr>
                <w:rFonts w:ascii="Calibri" w:hAnsi="Calibri"/>
                <w:b w:val="0"/>
                <w:sz w:val="16"/>
              </w:rPr>
              <w:t>Depends on IT-F-001, IT-F-005</w:t>
            </w:r>
          </w:p>
        </w:tc>
      </w:tr>
      <w:tr>
        <w:tc>
          <w:tcPr>
            <w:tcW w:w="520" w:type="dxa"/>
          </w:tcPr>
          <w:p>
            <w:pPr>
              <w:spacing w:after="20" w:before="20" w:line="240" w:lineRule="auto"/>
            </w:pPr>
            <w:r>
              <w:rPr>
                <w:rFonts w:ascii="Calibri" w:hAnsi="Calibri"/>
                <w:b/>
                <w:sz w:val="16"/>
              </w:rPr>
              <w:t>IT-F-007</w:t>
            </w:r>
          </w:p>
        </w:tc>
        <w:tc>
          <w:tcPr>
            <w:tcW w:w="2744" w:type="dxa"/>
          </w:tcPr>
          <w:p>
            <w:pPr>
              <w:spacing w:after="20" w:before="20" w:line="240" w:lineRule="auto"/>
            </w:pPr>
            <w:r>
              <w:rPr>
                <w:rFonts w:ascii="Calibri" w:hAnsi="Calibri"/>
                <w:b w:val="0"/>
                <w:sz w:val="16"/>
              </w:rPr>
              <w:t>accept installed-software manifests from authenticated endpoint agents, match them to registered assets by serial number or MAC address, and reconcile installations against license entitlements.</w:t>
            </w:r>
          </w:p>
        </w:tc>
        <w:tc>
          <w:tcPr>
            <w:tcW w:w="520" w:type="dxa"/>
          </w:tcPr>
          <w:p>
            <w:pPr>
              <w:spacing w:after="20" w:before="20" w:line="240" w:lineRule="auto"/>
            </w:pPr>
            <w:r>
              <w:rPr>
                <w:rFonts w:ascii="Calibri" w:hAnsi="Calibri"/>
                <w:b w:val="0"/>
                <w:sz w:val="16"/>
              </w:rPr>
              <w:t>Functional</w:t>
            </w:r>
          </w:p>
        </w:tc>
        <w:tc>
          <w:tcPr>
            <w:tcW w:w="520" w:type="dxa"/>
          </w:tcPr>
          <w:p>
            <w:pPr>
              <w:spacing w:after="20" w:before="20" w:line="240" w:lineRule="auto"/>
            </w:pPr>
            <w:r>
              <w:rPr>
                <w:rFonts w:ascii="Calibri" w:hAnsi="Calibri"/>
                <w:b w:val="0"/>
                <w:sz w:val="16"/>
              </w:rPr>
              <w:t>High</w:t>
            </w:r>
          </w:p>
        </w:tc>
        <w:tc>
          <w:tcPr>
            <w:tcW w:w="520" w:type="dxa"/>
          </w:tcPr>
          <w:p>
            <w:pPr>
              <w:spacing w:after="20" w:before="20" w:line="240" w:lineRule="auto"/>
            </w:pPr>
            <w:r>
              <w:rPr>
                <w:rFonts w:ascii="Calibri" w:hAnsi="Calibri"/>
                <w:b w:val="0"/>
                <w:sz w:val="16"/>
              </w:rPr>
              <w:t>Compliance Auditor</w:t>
            </w:r>
          </w:p>
        </w:tc>
        <w:tc>
          <w:tcPr>
            <w:tcW w:w="4105" w:type="dxa"/>
          </w:tcPr>
          <w:p>
            <w:pPr>
              <w:spacing w:after="20" w:before="20" w:line="240" w:lineRule="auto"/>
            </w:pPr>
            <w:r>
              <w:rPr>
                <w:rFonts w:ascii="Calibri" w:hAnsi="Calibri"/>
                <w:b w:val="0"/>
                <w:sz w:val="16"/>
              </w:rPr>
              <w:t>AC-IT-F-007: A valid manifest returns 200 with the matched asset and is reconciled in the same request (well within 60 seconds); duplicate entries are collapsed; an unregistered device returns 404; a missing or wrong agent key returns 401. Test: TC-SAM-03</w:t>
            </w:r>
          </w:p>
        </w:tc>
        <w:tc>
          <w:tcPr>
            <w:tcW w:w="532" w:type="dxa"/>
          </w:tcPr>
          <w:p>
            <w:pPr>
              <w:spacing w:after="20" w:before="20" w:line="240" w:lineRule="auto"/>
            </w:pPr>
            <w:r>
              <w:rPr>
                <w:rFonts w:ascii="Calibri" w:hAnsi="Calibri"/>
                <w:b w:val="0"/>
                <w:sz w:val="16"/>
              </w:rPr>
              <w:t>Agent API, section 3.3</w:t>
            </w:r>
          </w:p>
        </w:tc>
      </w:tr>
      <w:tr>
        <w:tc>
          <w:tcPr>
            <w:shd w:val="clear" w:color="auto" w:fill="F7F9FC"/>
            <w:tcW w:w="520" w:type="dxa"/>
          </w:tcPr>
          <w:p>
            <w:pPr>
              <w:spacing w:after="20" w:before="20" w:line="240" w:lineRule="auto"/>
            </w:pPr>
            <w:r>
              <w:rPr>
                <w:rFonts w:ascii="Calibri" w:hAnsi="Calibri"/>
                <w:b/>
                <w:sz w:val="16"/>
              </w:rPr>
              <w:t>IT-F-008</w:t>
            </w:r>
          </w:p>
        </w:tc>
        <w:tc>
          <w:tcPr>
            <w:shd w:val="clear" w:color="auto" w:fill="F7F9FC"/>
            <w:tcW w:w="2744" w:type="dxa"/>
          </w:tcPr>
          <w:p>
            <w:pPr>
              <w:spacing w:after="20" w:before="20" w:line="240" w:lineRule="auto"/>
            </w:pPr>
            <w:r>
              <w:rPr>
                <w:rFonts w:ascii="Calibri" w:hAnsi="Calibri"/>
                <w:b w:val="0"/>
                <w:sz w:val="16"/>
              </w:rPr>
              <w:t>detect blacklisted software in manifests and raise a high-severity security incident and notification; let administrators extend the blacklist and resolve incidents.</w:t>
            </w:r>
          </w:p>
        </w:tc>
        <w:tc>
          <w:tcPr>
            <w:shd w:val="clear" w:color="auto" w:fill="F7F9FC"/>
            <w:tcW w:w="520" w:type="dxa"/>
          </w:tcPr>
          <w:p>
            <w:pPr>
              <w:spacing w:after="20" w:before="20" w:line="240" w:lineRule="auto"/>
            </w:pPr>
            <w:r>
              <w:rPr>
                <w:rFonts w:ascii="Calibri" w:hAnsi="Calibri"/>
                <w:b w:val="0"/>
                <w:sz w:val="16"/>
              </w:rPr>
              <w:t>Functional</w:t>
            </w:r>
          </w:p>
        </w:tc>
        <w:tc>
          <w:tcPr>
            <w:shd w:val="clear" w:color="auto" w:fill="F7F9FC"/>
            <w:tcW w:w="520" w:type="dxa"/>
          </w:tcPr>
          <w:p>
            <w:pPr>
              <w:spacing w:after="20" w:before="20" w:line="240" w:lineRule="auto"/>
            </w:pPr>
            <w:r>
              <w:rPr>
                <w:rFonts w:ascii="Calibri" w:hAnsi="Calibri"/>
                <w:b w:val="0"/>
                <w:sz w:val="16"/>
              </w:rPr>
              <w:t>High</w:t>
            </w:r>
          </w:p>
        </w:tc>
        <w:tc>
          <w:tcPr>
            <w:shd w:val="clear" w:color="auto" w:fill="F7F9FC"/>
            <w:tcW w:w="520" w:type="dxa"/>
          </w:tcPr>
          <w:p>
            <w:pPr>
              <w:spacing w:after="20" w:before="20" w:line="240" w:lineRule="auto"/>
            </w:pPr>
            <w:r>
              <w:rPr>
                <w:rFonts w:ascii="Calibri" w:hAnsi="Calibri"/>
                <w:b w:val="0"/>
                <w:sz w:val="16"/>
              </w:rPr>
              <w:t>Information Security</w:t>
            </w:r>
          </w:p>
        </w:tc>
        <w:tc>
          <w:tcPr>
            <w:shd w:val="clear" w:color="auto" w:fill="F7F9FC"/>
            <w:tcW w:w="4105" w:type="dxa"/>
          </w:tcPr>
          <w:p>
            <w:pPr>
              <w:spacing w:after="20" w:before="20" w:line="240" w:lineRule="auto"/>
            </w:pPr>
            <w:r>
              <w:rPr>
                <w:rFonts w:ascii="Calibri" w:hAnsi="Calibri"/>
                <w:b w:val="0"/>
                <w:sz w:val="16"/>
              </w:rPr>
              <w:t xml:space="preserve">AC-IT-F-008: A manifest containing </w:t>
            </w:r>
            <w:r>
              <w:rPr>
                <w:rFonts w:ascii="Consolas" w:hAnsi="Consolas" w:eastAsia="Consolas"/>
                <w:b w:val="0"/>
                <w:sz w:val="15"/>
              </w:rPr>
              <w:t>BitTorrent.exe</w:t>
            </w:r>
            <w:r>
              <w:rPr>
                <w:rFonts w:ascii="Calibri" w:hAnsi="Calibri"/>
                <w:b w:val="0"/>
                <w:sz w:val="16"/>
              </w:rPr>
              <w:t xml:space="preserve"> or </w:t>
            </w:r>
            <w:r>
              <w:rPr>
                <w:rFonts w:ascii="Consolas" w:hAnsi="Consolas" w:eastAsia="Consolas"/>
                <w:b w:val="0"/>
                <w:sz w:val="15"/>
              </w:rPr>
              <w:t>XMRig</w:t>
            </w:r>
            <w:r>
              <w:rPr>
                <w:rFonts w:ascii="Calibri" w:hAnsi="Calibri"/>
                <w:b w:val="0"/>
                <w:sz w:val="16"/>
              </w:rPr>
              <w:t xml:space="preserve"> creates one HIGH incident per program (matching ignores case and </w:t>
            </w:r>
            <w:r>
              <w:rPr>
                <w:rFonts w:ascii="Consolas" w:hAnsi="Consolas" w:eastAsia="Consolas"/>
                <w:b w:val="0"/>
                <w:sz w:val="15"/>
              </w:rPr>
              <w:t>.exe</w:t>
            </w:r>
            <w:r>
              <w:rPr>
                <w:rFonts w:ascii="Calibri" w:hAnsi="Calibri"/>
                <w:b w:val="0"/>
                <w:sz w:val="16"/>
              </w:rPr>
              <w:t xml:space="preserve">); an open incident is not duplicated; newly blacklisted software is detected; resolving sets </w:t>
            </w:r>
            <w:r>
              <w:rPr>
                <w:rFonts w:ascii="Consolas" w:hAnsi="Consolas" w:eastAsia="Consolas"/>
                <w:b w:val="0"/>
                <w:sz w:val="15"/>
              </w:rPr>
              <w:t>RESOLVED</w:t>
            </w:r>
            <w:r>
              <w:rPr>
                <w:rFonts w:ascii="Calibri" w:hAnsi="Calibri"/>
                <w:b w:val="0"/>
                <w:sz w:val="16"/>
              </w:rPr>
              <w:t>. Test: TC-SAM-04</w:t>
            </w:r>
          </w:p>
        </w:tc>
        <w:tc>
          <w:tcPr>
            <w:shd w:val="clear" w:color="auto" w:fill="F7F9FC"/>
            <w:tcW w:w="532" w:type="dxa"/>
          </w:tcPr>
          <w:p>
            <w:pPr>
              <w:spacing w:after="20" w:before="20" w:line="240" w:lineRule="auto"/>
            </w:pPr>
            <w:r>
              <w:rPr>
                <w:rFonts w:ascii="Calibri" w:hAnsi="Calibri"/>
                <w:b w:val="0"/>
                <w:sz w:val="16"/>
              </w:rPr>
              <w:t>Depends on IT-F-007</w:t>
            </w:r>
          </w:p>
        </w:tc>
      </w:tr>
    </w:tbl>
    <w:p>
      <w:pPr>
        <w:spacing w:after="80"/>
      </w:pPr>
    </w:p>
    <w:p>
      <w:pPr>
        <w:pStyle w:val="Heading2"/>
      </w:pPr>
      <w:r>
        <w:rPr>
          <w:rFonts w:ascii="Calibri" w:hAnsi="Calibri"/>
          <w:b/>
          <w:color w:val="1F3B63"/>
        </w:rPr>
        <w:t>4.3 Procurement workflow</w:t>
      </w:r>
    </w:p>
    <w:p>
      <w:pPr>
        <w:jc w:val="both"/>
      </w:pPr>
      <w:r>
        <w:rPr>
          <w:rFonts w:ascii="Calibri" w:hAnsi="Calibri"/>
          <w:b w:val="0"/>
        </w:rPr>
        <w:t>Description: controlled purchasing from request to delivery.</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20"/>
        <w:gridCol w:w="2647"/>
        <w:gridCol w:w="520"/>
        <w:gridCol w:w="520"/>
        <w:gridCol w:w="520"/>
        <w:gridCol w:w="4214"/>
        <w:gridCol w:w="520"/>
      </w:tblGrid>
      <w:tr>
        <w:trPr>
          <w:tblHeader w:val="true"/>
        </w:trPr>
        <w:tc>
          <w:tcPr>
            <w:shd w:val="clear" w:color="auto" w:fill="1F3B63"/>
            <w:tcW w:w="520" w:type="dxa"/>
          </w:tcPr>
          <w:p>
            <w:pPr>
              <w:spacing w:after="20" w:before="20"/>
            </w:pPr>
            <w:r>
              <w:rPr>
                <w:b/>
                <w:color w:val="FFFFFF"/>
                <w:sz w:val="16"/>
              </w:rPr>
              <w:t>Req ID</w:t>
            </w:r>
          </w:p>
        </w:tc>
        <w:tc>
          <w:tcPr>
            <w:shd w:val="clear" w:color="auto" w:fill="1F3B63"/>
            <w:tcW w:w="2647" w:type="dxa"/>
          </w:tcPr>
          <w:p>
            <w:pPr>
              <w:spacing w:after="20" w:before="20"/>
            </w:pPr>
            <w:r>
              <w:rPr>
                <w:b/>
                <w:color w:val="FFFFFF"/>
                <w:sz w:val="16"/>
              </w:rPr>
              <w:t>Requirement (The system shall...)</w:t>
            </w:r>
          </w:p>
        </w:tc>
        <w:tc>
          <w:tcPr>
            <w:shd w:val="clear" w:color="auto" w:fill="1F3B63"/>
            <w:tcW w:w="520" w:type="dxa"/>
          </w:tcPr>
          <w:p>
            <w:pPr>
              <w:spacing w:after="20" w:before="20"/>
            </w:pPr>
            <w:r>
              <w:rPr>
                <w:b/>
                <w:color w:val="FFFFFF"/>
                <w:sz w:val="16"/>
              </w:rPr>
              <w:t>Type</w:t>
            </w:r>
          </w:p>
        </w:tc>
        <w:tc>
          <w:tcPr>
            <w:shd w:val="clear" w:color="auto" w:fill="1F3B63"/>
            <w:tcW w:w="520" w:type="dxa"/>
          </w:tcPr>
          <w:p>
            <w:pPr>
              <w:spacing w:after="20" w:before="20"/>
            </w:pPr>
            <w:r>
              <w:rPr>
                <w:b/>
                <w:color w:val="FFFFFF"/>
                <w:sz w:val="16"/>
              </w:rPr>
              <w:t>Priority</w:t>
            </w:r>
          </w:p>
        </w:tc>
        <w:tc>
          <w:tcPr>
            <w:shd w:val="clear" w:color="auto" w:fill="1F3B63"/>
            <w:tcW w:w="520" w:type="dxa"/>
          </w:tcPr>
          <w:p>
            <w:pPr>
              <w:spacing w:after="20" w:before="20"/>
            </w:pPr>
            <w:r>
              <w:rPr>
                <w:b/>
                <w:color w:val="FFFFFF"/>
                <w:sz w:val="16"/>
              </w:rPr>
              <w:t>Source / Stakeholder</w:t>
            </w:r>
          </w:p>
        </w:tc>
        <w:tc>
          <w:tcPr>
            <w:shd w:val="clear" w:color="auto" w:fill="1F3B63"/>
            <w:tcW w:w="4214" w:type="dxa"/>
          </w:tcPr>
          <w:p>
            <w:pPr>
              <w:spacing w:after="20" w:before="20"/>
            </w:pPr>
            <w:r>
              <w:rPr>
                <w:b/>
                <w:color w:val="FFFFFF"/>
                <w:sz w:val="16"/>
              </w:rPr>
              <w:t>Acceptance criteria / Test case ref</w:t>
            </w:r>
          </w:p>
        </w:tc>
        <w:tc>
          <w:tcPr>
            <w:shd w:val="clear" w:color="auto" w:fill="1F3B63"/>
            <w:tcW w:w="520" w:type="dxa"/>
          </w:tcPr>
          <w:p>
            <w:pPr>
              <w:spacing w:after="20" w:before="20"/>
            </w:pPr>
            <w:r>
              <w:rPr>
                <w:b/>
                <w:color w:val="FFFFFF"/>
                <w:sz w:val="16"/>
              </w:rPr>
              <w:t>Comments / Dependencies</w:t>
            </w:r>
          </w:p>
        </w:tc>
      </w:tr>
      <w:tr>
        <w:tc>
          <w:tcPr>
            <w:tcW w:w="520" w:type="dxa"/>
          </w:tcPr>
          <w:p>
            <w:pPr>
              <w:spacing w:after="20" w:before="20" w:line="240" w:lineRule="auto"/>
            </w:pPr>
            <w:r>
              <w:rPr>
                <w:rFonts w:ascii="Calibri" w:hAnsi="Calibri"/>
                <w:b/>
                <w:sz w:val="16"/>
              </w:rPr>
              <w:t>IT-F-009</w:t>
            </w:r>
          </w:p>
        </w:tc>
        <w:tc>
          <w:tcPr>
            <w:tcW w:w="2647" w:type="dxa"/>
          </w:tcPr>
          <w:p>
            <w:pPr>
              <w:spacing w:after="20" w:before="20" w:line="240" w:lineRule="auto"/>
            </w:pPr>
            <w:r>
              <w:rPr>
                <w:rFonts w:ascii="Calibri" w:hAnsi="Calibri"/>
                <w:b w:val="0"/>
                <w:sz w:val="16"/>
              </w:rPr>
              <w:t>let users submit purchase requisitions for hardware or software licenses stating quantity, unit cost and business justification.</w:t>
            </w:r>
          </w:p>
        </w:tc>
        <w:tc>
          <w:tcPr>
            <w:tcW w:w="520" w:type="dxa"/>
          </w:tcPr>
          <w:p>
            <w:pPr>
              <w:spacing w:after="20" w:before="20" w:line="240" w:lineRule="auto"/>
            </w:pPr>
            <w:r>
              <w:rPr>
                <w:rFonts w:ascii="Calibri" w:hAnsi="Calibri"/>
                <w:b w:val="0"/>
                <w:sz w:val="16"/>
              </w:rPr>
              <w:t>Functional</w:t>
            </w:r>
          </w:p>
        </w:tc>
        <w:tc>
          <w:tcPr>
            <w:tcW w:w="520" w:type="dxa"/>
          </w:tcPr>
          <w:p>
            <w:pPr>
              <w:spacing w:after="20" w:before="20" w:line="240" w:lineRule="auto"/>
            </w:pPr>
            <w:r>
              <w:rPr>
                <w:rFonts w:ascii="Calibri" w:hAnsi="Calibri"/>
                <w:b w:val="0"/>
                <w:sz w:val="16"/>
              </w:rPr>
              <w:t>High</w:t>
            </w:r>
          </w:p>
        </w:tc>
        <w:tc>
          <w:tcPr>
            <w:tcW w:w="520" w:type="dxa"/>
          </w:tcPr>
          <w:p>
            <w:pPr>
              <w:spacing w:after="20" w:before="20" w:line="240" w:lineRule="auto"/>
            </w:pPr>
            <w:r>
              <w:rPr>
                <w:rFonts w:ascii="Calibri" w:hAnsi="Calibri"/>
                <w:b w:val="0"/>
                <w:sz w:val="16"/>
              </w:rPr>
              <w:t>Employees, Managers</w:t>
            </w:r>
          </w:p>
        </w:tc>
        <w:tc>
          <w:tcPr>
            <w:tcW w:w="4214" w:type="dxa"/>
          </w:tcPr>
          <w:p>
            <w:pPr>
              <w:spacing w:after="20" w:before="20" w:line="240" w:lineRule="auto"/>
            </w:pPr>
            <w:r>
              <w:rPr>
                <w:rFonts w:ascii="Calibri" w:hAnsi="Calibri"/>
                <w:b w:val="0"/>
                <w:sz w:val="16"/>
              </w:rPr>
              <w:t xml:space="preserve">AC-IT-F-009: Valid request returns 201 with a number </w:t>
            </w:r>
            <w:r>
              <w:rPr>
                <w:rFonts w:ascii="Consolas" w:hAnsi="Consolas" w:eastAsia="Consolas"/>
                <w:b w:val="0"/>
                <w:sz w:val="15"/>
              </w:rPr>
              <w:t>PR-YYYY-NNNN</w:t>
            </w:r>
            <w:r>
              <w:rPr>
                <w:rFonts w:ascii="Calibri" w:hAnsi="Calibri"/>
                <w:b w:val="0"/>
                <w:sz w:val="16"/>
              </w:rPr>
              <w:t xml:space="preserve">, state </w:t>
            </w:r>
            <w:r>
              <w:rPr>
                <w:rFonts w:ascii="Consolas" w:hAnsi="Consolas" w:eastAsia="Consolas"/>
                <w:b w:val="0"/>
                <w:sz w:val="15"/>
              </w:rPr>
              <w:t>PENDING_MANAGER_APPROVAL</w:t>
            </w:r>
            <w:r>
              <w:rPr>
                <w:rFonts w:ascii="Calibri" w:hAnsi="Calibri"/>
                <w:b w:val="0"/>
                <w:sz w:val="16"/>
              </w:rPr>
              <w:t xml:space="preserve"> and the computed total; invalid quantity, cost or justification returns 400; requesters see only their own requisitions; auditors cannot submit. Test: TC-PROC-01</w:t>
            </w:r>
          </w:p>
        </w:tc>
        <w:tc>
          <w:tcPr>
            <w:tcW w:w="520" w:type="dxa"/>
          </w:tcPr>
          <w:p>
            <w:pPr>
              <w:spacing w:after="20" w:before="20" w:line="240" w:lineRule="auto"/>
            </w:pPr>
          </w:p>
        </w:tc>
      </w:tr>
      <w:tr>
        <w:tc>
          <w:tcPr>
            <w:shd w:val="clear" w:color="auto" w:fill="F7F9FC"/>
            <w:tcW w:w="520" w:type="dxa"/>
          </w:tcPr>
          <w:p>
            <w:pPr>
              <w:spacing w:after="20" w:before="20" w:line="240" w:lineRule="auto"/>
            </w:pPr>
            <w:r>
              <w:rPr>
                <w:rFonts w:ascii="Calibri" w:hAnsi="Calibri"/>
                <w:b/>
                <w:sz w:val="16"/>
              </w:rPr>
              <w:t>IT-F-010</w:t>
            </w:r>
          </w:p>
        </w:tc>
        <w:tc>
          <w:tcPr>
            <w:shd w:val="clear" w:color="auto" w:fill="F7F9FC"/>
            <w:tcW w:w="2647" w:type="dxa"/>
          </w:tcPr>
          <w:p>
            <w:pPr>
              <w:spacing w:after="20" w:before="20" w:line="240" w:lineRule="auto"/>
            </w:pPr>
            <w:r>
              <w:rPr>
                <w:rFonts w:ascii="Calibri" w:hAnsi="Calibri"/>
                <w:b w:val="0"/>
                <w:sz w:val="16"/>
              </w:rPr>
              <w:t>route each requisition through Manager, IT Director and Finance Officer approval in that order, allow rejection with a reason at any stage, and enforce separation of duties.</w:t>
            </w:r>
          </w:p>
        </w:tc>
        <w:tc>
          <w:tcPr>
            <w:shd w:val="clear" w:color="auto" w:fill="F7F9FC"/>
            <w:tcW w:w="520" w:type="dxa"/>
          </w:tcPr>
          <w:p>
            <w:pPr>
              <w:spacing w:after="20" w:before="20" w:line="240" w:lineRule="auto"/>
            </w:pPr>
            <w:r>
              <w:rPr>
                <w:rFonts w:ascii="Calibri" w:hAnsi="Calibri"/>
                <w:b w:val="0"/>
                <w:sz w:val="16"/>
              </w:rPr>
              <w:t>Functional</w:t>
            </w:r>
          </w:p>
        </w:tc>
        <w:tc>
          <w:tcPr>
            <w:shd w:val="clear" w:color="auto" w:fill="F7F9FC"/>
            <w:tcW w:w="520" w:type="dxa"/>
          </w:tcPr>
          <w:p>
            <w:pPr>
              <w:spacing w:after="20" w:before="20" w:line="240" w:lineRule="auto"/>
            </w:pPr>
            <w:r>
              <w:rPr>
                <w:rFonts w:ascii="Calibri" w:hAnsi="Calibri"/>
                <w:b w:val="0"/>
                <w:sz w:val="16"/>
              </w:rPr>
              <w:t>High</w:t>
            </w:r>
          </w:p>
        </w:tc>
        <w:tc>
          <w:tcPr>
            <w:shd w:val="clear" w:color="auto" w:fill="F7F9FC"/>
            <w:tcW w:w="520" w:type="dxa"/>
          </w:tcPr>
          <w:p>
            <w:pPr>
              <w:spacing w:after="20" w:before="20" w:line="240" w:lineRule="auto"/>
            </w:pPr>
            <w:r>
              <w:rPr>
                <w:rFonts w:ascii="Calibri" w:hAnsi="Calibri"/>
                <w:b w:val="0"/>
                <w:sz w:val="16"/>
              </w:rPr>
              <w:t>IT Director, Finance</w:t>
            </w:r>
          </w:p>
        </w:tc>
        <w:tc>
          <w:tcPr>
            <w:shd w:val="clear" w:color="auto" w:fill="F7F9FC"/>
            <w:tcW w:w="4214" w:type="dxa"/>
          </w:tcPr>
          <w:p>
            <w:pPr>
              <w:spacing w:after="20" w:before="20" w:line="240" w:lineRule="auto"/>
            </w:pPr>
            <w:r>
              <w:rPr>
                <w:rFonts w:ascii="Calibri" w:hAnsi="Calibri"/>
                <w:b w:val="0"/>
                <w:sz w:val="16"/>
              </w:rPr>
              <w:t xml:space="preserve">AC-IT-F-010: Each stage accepts only its role (403 otherwise); the state reaches </w:t>
            </w:r>
            <w:r>
              <w:rPr>
                <w:rFonts w:ascii="Consolas" w:hAnsi="Consolas" w:eastAsia="Consolas"/>
                <w:b w:val="0"/>
                <w:sz w:val="15"/>
              </w:rPr>
              <w:t>APPROVED</w:t>
            </w:r>
            <w:r>
              <w:rPr>
                <w:rFonts w:ascii="Calibri" w:hAnsi="Calibri"/>
                <w:b w:val="0"/>
                <w:sz w:val="16"/>
              </w:rPr>
              <w:t xml:space="preserve"> only after all three approvals; requesters cannot approve their own requisition and no person approves twice; a rejected requisition cannot be approved. Test: TC-PROC-02</w:t>
            </w:r>
          </w:p>
        </w:tc>
        <w:tc>
          <w:tcPr>
            <w:shd w:val="clear" w:color="auto" w:fill="F7F9FC"/>
            <w:tcW w:w="520" w:type="dxa"/>
          </w:tcPr>
          <w:p>
            <w:pPr>
              <w:spacing w:after="20" w:before="20" w:line="240" w:lineRule="auto"/>
            </w:pPr>
          </w:p>
        </w:tc>
      </w:tr>
      <w:tr>
        <w:tc>
          <w:tcPr>
            <w:tcW w:w="520" w:type="dxa"/>
          </w:tcPr>
          <w:p>
            <w:pPr>
              <w:spacing w:after="20" w:before="20" w:line="240" w:lineRule="auto"/>
            </w:pPr>
            <w:r>
              <w:rPr>
                <w:rFonts w:ascii="Calibri" w:hAnsi="Calibri"/>
                <w:b/>
                <w:sz w:val="16"/>
              </w:rPr>
              <w:t>IT-F-011</w:t>
            </w:r>
          </w:p>
        </w:tc>
        <w:tc>
          <w:tcPr>
            <w:tcW w:w="2647" w:type="dxa"/>
          </w:tcPr>
          <w:p>
            <w:pPr>
              <w:spacing w:after="20" w:before="20" w:line="240" w:lineRule="auto"/>
            </w:pPr>
            <w:r>
              <w:rPr>
                <w:rFonts w:ascii="Calibri" w:hAnsi="Calibri"/>
                <w:b w:val="0"/>
                <w:sz w:val="16"/>
              </w:rPr>
              <w:t>let the Finance Officer issue one purchase order for an approved requisition and, on delivery, onboard the items automatically.</w:t>
            </w:r>
          </w:p>
        </w:tc>
        <w:tc>
          <w:tcPr>
            <w:tcW w:w="520" w:type="dxa"/>
          </w:tcPr>
          <w:p>
            <w:pPr>
              <w:spacing w:after="20" w:before="20" w:line="240" w:lineRule="auto"/>
            </w:pPr>
            <w:r>
              <w:rPr>
                <w:rFonts w:ascii="Calibri" w:hAnsi="Calibri"/>
                <w:b w:val="0"/>
                <w:sz w:val="16"/>
              </w:rPr>
              <w:t>Functional</w:t>
            </w:r>
          </w:p>
        </w:tc>
        <w:tc>
          <w:tcPr>
            <w:tcW w:w="520" w:type="dxa"/>
          </w:tcPr>
          <w:p>
            <w:pPr>
              <w:spacing w:after="20" w:before="20" w:line="240" w:lineRule="auto"/>
            </w:pPr>
            <w:r>
              <w:rPr>
                <w:rFonts w:ascii="Calibri" w:hAnsi="Calibri"/>
                <w:b w:val="0"/>
                <w:sz w:val="16"/>
              </w:rPr>
              <w:t>Medium</w:t>
            </w:r>
          </w:p>
        </w:tc>
        <w:tc>
          <w:tcPr>
            <w:tcW w:w="520" w:type="dxa"/>
          </w:tcPr>
          <w:p>
            <w:pPr>
              <w:spacing w:after="20" w:before="20" w:line="240" w:lineRule="auto"/>
            </w:pPr>
            <w:r>
              <w:rPr>
                <w:rFonts w:ascii="Calibri" w:hAnsi="Calibri"/>
                <w:b w:val="0"/>
                <w:sz w:val="16"/>
              </w:rPr>
              <w:t>Finance, IT Technician</w:t>
            </w:r>
          </w:p>
        </w:tc>
        <w:tc>
          <w:tcPr>
            <w:tcW w:w="4214" w:type="dxa"/>
          </w:tcPr>
          <w:p>
            <w:pPr>
              <w:spacing w:after="20" w:before="20" w:line="240" w:lineRule="auto"/>
            </w:pPr>
            <w:r>
              <w:rPr>
                <w:rFonts w:ascii="Calibri" w:hAnsi="Calibri"/>
                <w:b w:val="0"/>
                <w:sz w:val="16"/>
              </w:rPr>
              <w:t xml:space="preserve">AC-IT-F-011: A PO </w:t>
            </w:r>
            <w:r>
              <w:rPr>
                <w:rFonts w:ascii="Consolas" w:hAnsi="Consolas" w:eastAsia="Consolas"/>
                <w:b w:val="0"/>
                <w:sz w:val="15"/>
              </w:rPr>
              <w:t>PO-YYYY-NNNN</w:t>
            </w:r>
            <w:r>
              <w:rPr>
                <w:rFonts w:ascii="Calibri" w:hAnsi="Calibri"/>
                <w:b w:val="0"/>
                <w:sz w:val="16"/>
              </w:rPr>
              <w:t xml:space="preserve"> is issued only for </w:t>
            </w:r>
            <w:r>
              <w:rPr>
                <w:rFonts w:ascii="Consolas" w:hAnsi="Consolas" w:eastAsia="Consolas"/>
                <w:b w:val="0"/>
                <w:sz w:val="15"/>
              </w:rPr>
              <w:t>APPROVED</w:t>
            </w:r>
            <w:r>
              <w:rPr>
                <w:rFonts w:ascii="Calibri" w:hAnsi="Calibri"/>
                <w:b w:val="0"/>
                <w:sz w:val="16"/>
              </w:rPr>
              <w:t xml:space="preserve"> requisitions and only once; delivering hardware creates one </w:t>
            </w:r>
            <w:r>
              <w:rPr>
                <w:rFonts w:ascii="Consolas" w:hAnsi="Consolas" w:eastAsia="Consolas"/>
                <w:b w:val="0"/>
                <w:sz w:val="15"/>
              </w:rPr>
              <w:t>AVAILABLE</w:t>
            </w:r>
            <w:r>
              <w:rPr>
                <w:rFonts w:ascii="Calibri" w:hAnsi="Calibri"/>
                <w:b w:val="0"/>
                <w:sz w:val="16"/>
              </w:rPr>
              <w:t xml:space="preserve"> asset per serial number linked to the PO; delivering software creates a license pool with the purchased seats. Test: TC-PROC-03</w:t>
            </w:r>
          </w:p>
        </w:tc>
        <w:tc>
          <w:tcPr>
            <w:tcW w:w="520" w:type="dxa"/>
          </w:tcPr>
          <w:p>
            <w:pPr>
              <w:spacing w:after="20" w:before="20" w:line="240" w:lineRule="auto"/>
            </w:pPr>
            <w:r>
              <w:rPr>
                <w:rFonts w:ascii="Calibri" w:hAnsi="Calibri"/>
                <w:b w:val="0"/>
                <w:sz w:val="16"/>
              </w:rPr>
              <w:t>Uses IT-F-001, IT-F-005</w:t>
            </w:r>
          </w:p>
        </w:tc>
      </w:tr>
    </w:tbl>
    <w:p>
      <w:pPr>
        <w:spacing w:after="80"/>
      </w:pPr>
    </w:p>
    <w:p>
      <w:pPr>
        <w:pStyle w:val="Heading2"/>
      </w:pPr>
      <w:r>
        <w:rPr>
          <w:rFonts w:ascii="Calibri" w:hAnsi="Calibri"/>
          <w:b/>
          <w:color w:val="1F3B63"/>
        </w:rPr>
        <w:t>4.4 Compliance alerting and reporting</w:t>
      </w:r>
    </w:p>
    <w:p>
      <w:pPr>
        <w:jc w:val="both"/>
      </w:pPr>
      <w:r>
        <w:rPr>
          <w:rFonts w:ascii="Calibri" w:hAnsi="Calibri"/>
          <w:b w:val="0"/>
        </w:rPr>
        <w:t>Description: tell the right people about risk and give auditors evidence.</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20"/>
        <w:gridCol w:w="3043"/>
        <w:gridCol w:w="520"/>
        <w:gridCol w:w="520"/>
        <w:gridCol w:w="520"/>
        <w:gridCol w:w="3818"/>
        <w:gridCol w:w="520"/>
      </w:tblGrid>
      <w:tr>
        <w:trPr>
          <w:tblHeader w:val="true"/>
        </w:trPr>
        <w:tc>
          <w:tcPr>
            <w:shd w:val="clear" w:color="auto" w:fill="1F3B63"/>
            <w:tcW w:w="520" w:type="dxa"/>
          </w:tcPr>
          <w:p>
            <w:pPr>
              <w:spacing w:after="20" w:before="20"/>
            </w:pPr>
            <w:r>
              <w:rPr>
                <w:b/>
                <w:color w:val="FFFFFF"/>
                <w:sz w:val="16"/>
              </w:rPr>
              <w:t>Req ID</w:t>
            </w:r>
          </w:p>
        </w:tc>
        <w:tc>
          <w:tcPr>
            <w:shd w:val="clear" w:color="auto" w:fill="1F3B63"/>
            <w:tcW w:w="3043" w:type="dxa"/>
          </w:tcPr>
          <w:p>
            <w:pPr>
              <w:spacing w:after="20" w:before="20"/>
            </w:pPr>
            <w:r>
              <w:rPr>
                <w:b/>
                <w:color w:val="FFFFFF"/>
                <w:sz w:val="16"/>
              </w:rPr>
              <w:t>Requirement (The system shall...)</w:t>
            </w:r>
          </w:p>
        </w:tc>
        <w:tc>
          <w:tcPr>
            <w:shd w:val="clear" w:color="auto" w:fill="1F3B63"/>
            <w:tcW w:w="520" w:type="dxa"/>
          </w:tcPr>
          <w:p>
            <w:pPr>
              <w:spacing w:after="20" w:before="20"/>
            </w:pPr>
            <w:r>
              <w:rPr>
                <w:b/>
                <w:color w:val="FFFFFF"/>
                <w:sz w:val="16"/>
              </w:rPr>
              <w:t>Type</w:t>
            </w:r>
          </w:p>
        </w:tc>
        <w:tc>
          <w:tcPr>
            <w:shd w:val="clear" w:color="auto" w:fill="1F3B63"/>
            <w:tcW w:w="520" w:type="dxa"/>
          </w:tcPr>
          <w:p>
            <w:pPr>
              <w:spacing w:after="20" w:before="20"/>
            </w:pPr>
            <w:r>
              <w:rPr>
                <w:b/>
                <w:color w:val="FFFFFF"/>
                <w:sz w:val="16"/>
              </w:rPr>
              <w:t>Priority</w:t>
            </w:r>
          </w:p>
        </w:tc>
        <w:tc>
          <w:tcPr>
            <w:shd w:val="clear" w:color="auto" w:fill="1F3B63"/>
            <w:tcW w:w="520" w:type="dxa"/>
          </w:tcPr>
          <w:p>
            <w:pPr>
              <w:spacing w:after="20" w:before="20"/>
            </w:pPr>
            <w:r>
              <w:rPr>
                <w:b/>
                <w:color w:val="FFFFFF"/>
                <w:sz w:val="16"/>
              </w:rPr>
              <w:t>Source / Stakeholder</w:t>
            </w:r>
          </w:p>
        </w:tc>
        <w:tc>
          <w:tcPr>
            <w:shd w:val="clear" w:color="auto" w:fill="1F3B63"/>
            <w:tcW w:w="3818" w:type="dxa"/>
          </w:tcPr>
          <w:p>
            <w:pPr>
              <w:spacing w:after="20" w:before="20"/>
            </w:pPr>
            <w:r>
              <w:rPr>
                <w:b/>
                <w:color w:val="FFFFFF"/>
                <w:sz w:val="16"/>
              </w:rPr>
              <w:t>Acceptance criteria / Test case ref</w:t>
            </w:r>
          </w:p>
        </w:tc>
        <w:tc>
          <w:tcPr>
            <w:shd w:val="clear" w:color="auto" w:fill="1F3B63"/>
            <w:tcW w:w="520" w:type="dxa"/>
          </w:tcPr>
          <w:p>
            <w:pPr>
              <w:spacing w:after="20" w:before="20"/>
            </w:pPr>
            <w:r>
              <w:rPr>
                <w:b/>
                <w:color w:val="FFFFFF"/>
                <w:sz w:val="16"/>
              </w:rPr>
              <w:t>Comments / Dependencies</w:t>
            </w:r>
          </w:p>
        </w:tc>
      </w:tr>
      <w:tr>
        <w:tc>
          <w:tcPr>
            <w:tcW w:w="520" w:type="dxa"/>
          </w:tcPr>
          <w:p>
            <w:pPr>
              <w:spacing w:after="20" w:before="20" w:line="240" w:lineRule="auto"/>
            </w:pPr>
            <w:r>
              <w:rPr>
                <w:rFonts w:ascii="Calibri" w:hAnsi="Calibri"/>
                <w:b/>
                <w:sz w:val="16"/>
              </w:rPr>
              <w:t>IT-F-012</w:t>
            </w:r>
          </w:p>
        </w:tc>
        <w:tc>
          <w:tcPr>
            <w:tcW w:w="3043" w:type="dxa"/>
          </w:tcPr>
          <w:p>
            <w:pPr>
              <w:spacing w:after="20" w:before="20" w:line="240" w:lineRule="auto"/>
            </w:pPr>
            <w:r>
              <w:rPr>
                <w:rFonts w:ascii="Calibri" w:hAnsi="Calibri"/>
                <w:b w:val="0"/>
                <w:sz w:val="16"/>
              </w:rPr>
              <w:t>detect under-licensing (installations greater than purchased seats) and raise a high-severity breach notification when a deficit appears or grows.</w:t>
            </w:r>
          </w:p>
        </w:tc>
        <w:tc>
          <w:tcPr>
            <w:tcW w:w="520" w:type="dxa"/>
          </w:tcPr>
          <w:p>
            <w:pPr>
              <w:spacing w:after="20" w:before="20" w:line="240" w:lineRule="auto"/>
            </w:pPr>
            <w:r>
              <w:rPr>
                <w:rFonts w:ascii="Calibri" w:hAnsi="Calibri"/>
                <w:b w:val="0"/>
                <w:sz w:val="16"/>
              </w:rPr>
              <w:t>Functional</w:t>
            </w:r>
          </w:p>
        </w:tc>
        <w:tc>
          <w:tcPr>
            <w:tcW w:w="520" w:type="dxa"/>
          </w:tcPr>
          <w:p>
            <w:pPr>
              <w:spacing w:after="20" w:before="20" w:line="240" w:lineRule="auto"/>
            </w:pPr>
            <w:r>
              <w:rPr>
                <w:rFonts w:ascii="Calibri" w:hAnsi="Calibri"/>
                <w:b w:val="0"/>
                <w:sz w:val="16"/>
              </w:rPr>
              <w:t>High</w:t>
            </w:r>
          </w:p>
        </w:tc>
        <w:tc>
          <w:tcPr>
            <w:tcW w:w="520" w:type="dxa"/>
          </w:tcPr>
          <w:p>
            <w:pPr>
              <w:spacing w:after="20" w:before="20" w:line="240" w:lineRule="auto"/>
            </w:pPr>
            <w:r>
              <w:rPr>
                <w:rFonts w:ascii="Calibri" w:hAnsi="Calibri"/>
                <w:b w:val="0"/>
                <w:sz w:val="16"/>
              </w:rPr>
              <w:t>Compliance Lead</w:t>
            </w:r>
          </w:p>
        </w:tc>
        <w:tc>
          <w:tcPr>
            <w:tcW w:w="3818" w:type="dxa"/>
          </w:tcPr>
          <w:p>
            <w:pPr>
              <w:spacing w:after="20" w:before="20" w:line="240" w:lineRule="auto"/>
            </w:pPr>
            <w:r>
              <w:rPr>
                <w:rFonts w:ascii="Calibri" w:hAnsi="Calibri"/>
                <w:b w:val="0"/>
                <w:sz w:val="16"/>
              </w:rPr>
              <w:t xml:space="preserve">AC-IT-F-012: Three installations against two seats produce exactly one HIGH </w:t>
            </w:r>
            <w:r>
              <w:rPr>
                <w:rFonts w:ascii="Consolas" w:hAnsi="Consolas" w:eastAsia="Consolas"/>
                <w:b w:val="0"/>
                <w:sz w:val="15"/>
              </w:rPr>
              <w:t>LICENSE_BREACH</w:t>
            </w:r>
            <w:r>
              <w:rPr>
                <w:rFonts w:ascii="Calibri" w:hAnsi="Calibri"/>
                <w:b w:val="0"/>
                <w:sz w:val="16"/>
              </w:rPr>
              <w:t xml:space="preserve"> notification with deficit 1 and an audit entry; re-running reconciliation without change raises nothing new. Test: TC-AUD-01</w:t>
            </w:r>
          </w:p>
        </w:tc>
        <w:tc>
          <w:tcPr>
            <w:tcW w:w="520" w:type="dxa"/>
          </w:tcPr>
          <w:p>
            <w:pPr>
              <w:spacing w:after="20" w:before="20" w:line="240" w:lineRule="auto"/>
            </w:pPr>
            <w:r>
              <w:rPr>
                <w:rFonts w:ascii="Calibri" w:hAnsi="Calibri"/>
                <w:b w:val="0"/>
                <w:sz w:val="16"/>
              </w:rPr>
              <w:t>Uses IT-F-007 data</w:t>
            </w:r>
          </w:p>
        </w:tc>
      </w:tr>
      <w:tr>
        <w:tc>
          <w:tcPr>
            <w:shd w:val="clear" w:color="auto" w:fill="F7F9FC"/>
            <w:tcW w:w="520" w:type="dxa"/>
          </w:tcPr>
          <w:p>
            <w:pPr>
              <w:spacing w:after="20" w:before="20" w:line="240" w:lineRule="auto"/>
            </w:pPr>
            <w:r>
              <w:rPr>
                <w:rFonts w:ascii="Calibri" w:hAnsi="Calibri"/>
                <w:b/>
                <w:sz w:val="16"/>
              </w:rPr>
              <w:t>IT-F-013</w:t>
            </w:r>
          </w:p>
        </w:tc>
        <w:tc>
          <w:tcPr>
            <w:shd w:val="clear" w:color="auto" w:fill="F7F9FC"/>
            <w:tcW w:w="3043" w:type="dxa"/>
          </w:tcPr>
          <w:p>
            <w:pPr>
              <w:spacing w:after="20" w:before="20" w:line="240" w:lineRule="auto"/>
            </w:pPr>
            <w:r>
              <w:rPr>
                <w:rFonts w:ascii="Calibri" w:hAnsi="Calibri"/>
                <w:b w:val="0"/>
                <w:sz w:val="16"/>
              </w:rPr>
              <w:t>raise notifications 60, 30 and 7 days before and on expiry of each license and hardware warranty, once per threshold, by a daily job and on demand.</w:t>
            </w:r>
          </w:p>
        </w:tc>
        <w:tc>
          <w:tcPr>
            <w:shd w:val="clear" w:color="auto" w:fill="F7F9FC"/>
            <w:tcW w:w="520" w:type="dxa"/>
          </w:tcPr>
          <w:p>
            <w:pPr>
              <w:spacing w:after="20" w:before="20" w:line="240" w:lineRule="auto"/>
            </w:pPr>
            <w:r>
              <w:rPr>
                <w:rFonts w:ascii="Calibri" w:hAnsi="Calibri"/>
                <w:b w:val="0"/>
                <w:sz w:val="16"/>
              </w:rPr>
              <w:t>Functional</w:t>
            </w:r>
          </w:p>
        </w:tc>
        <w:tc>
          <w:tcPr>
            <w:shd w:val="clear" w:color="auto" w:fill="F7F9FC"/>
            <w:tcW w:w="520" w:type="dxa"/>
          </w:tcPr>
          <w:p>
            <w:pPr>
              <w:spacing w:after="20" w:before="20" w:line="240" w:lineRule="auto"/>
            </w:pPr>
            <w:r>
              <w:rPr>
                <w:rFonts w:ascii="Calibri" w:hAnsi="Calibri"/>
                <w:b w:val="0"/>
                <w:sz w:val="16"/>
              </w:rPr>
              <w:t>High</w:t>
            </w:r>
          </w:p>
        </w:tc>
        <w:tc>
          <w:tcPr>
            <w:shd w:val="clear" w:color="auto" w:fill="F7F9FC"/>
            <w:tcW w:w="520" w:type="dxa"/>
          </w:tcPr>
          <w:p>
            <w:pPr>
              <w:spacing w:after="20" w:before="20" w:line="240" w:lineRule="auto"/>
            </w:pPr>
            <w:r>
              <w:rPr>
                <w:rFonts w:ascii="Calibri" w:hAnsi="Calibri"/>
                <w:b w:val="0"/>
                <w:sz w:val="16"/>
              </w:rPr>
              <w:t>IT Operations</w:t>
            </w:r>
          </w:p>
        </w:tc>
        <w:tc>
          <w:tcPr>
            <w:shd w:val="clear" w:color="auto" w:fill="F7F9FC"/>
            <w:tcW w:w="3818" w:type="dxa"/>
          </w:tcPr>
          <w:p>
            <w:pPr>
              <w:spacing w:after="20" w:before="20" w:line="240" w:lineRule="auto"/>
            </w:pPr>
            <w:r>
              <w:rPr>
                <w:rFonts w:ascii="Calibri" w:hAnsi="Calibri"/>
                <w:b w:val="0"/>
                <w:sz w:val="16"/>
              </w:rPr>
              <w:t>AC-IT-F-013: For an item expiring on 31-12-2026, checks on 01-11, 05-12 and 26-12 raise one LOW, MEDIUM and HIGH notification respectively, a repeat check raises nothing, and a check on 02-01-2027 raises an EXPIRED notification. Test: TC-AUD-02</w:t>
            </w:r>
          </w:p>
        </w:tc>
        <w:tc>
          <w:tcPr>
            <w:shd w:val="clear" w:color="auto" w:fill="F7F9FC"/>
            <w:tcW w:w="520" w:type="dxa"/>
          </w:tcPr>
          <w:p>
            <w:pPr>
              <w:spacing w:after="20" w:before="20" w:line="240" w:lineRule="auto"/>
            </w:pPr>
          </w:p>
        </w:tc>
      </w:tr>
      <w:tr>
        <w:tc>
          <w:tcPr>
            <w:tcW w:w="520" w:type="dxa"/>
          </w:tcPr>
          <w:p>
            <w:pPr>
              <w:spacing w:after="20" w:before="20" w:line="240" w:lineRule="auto"/>
            </w:pPr>
            <w:r>
              <w:rPr>
                <w:rFonts w:ascii="Calibri" w:hAnsi="Calibri"/>
                <w:b/>
                <w:sz w:val="16"/>
              </w:rPr>
              <w:t>IT-F-014</w:t>
            </w:r>
          </w:p>
        </w:tc>
        <w:tc>
          <w:tcPr>
            <w:tcW w:w="3043" w:type="dxa"/>
          </w:tcPr>
          <w:p>
            <w:pPr>
              <w:spacing w:after="20" w:before="20" w:line="240" w:lineRule="auto"/>
            </w:pPr>
            <w:r>
              <w:rPr>
                <w:rFonts w:ascii="Calibri" w:hAnsi="Calibri"/>
                <w:b w:val="0"/>
                <w:sz w:val="16"/>
              </w:rPr>
              <w:t>generate a compliance report on demand in JSON or CSV containing asset and seat totals, per-license reconciliation, open incidents, decommissioning certificates, audit-chain status and a SHA-256 content hash.</w:t>
            </w:r>
          </w:p>
        </w:tc>
        <w:tc>
          <w:tcPr>
            <w:tcW w:w="520" w:type="dxa"/>
          </w:tcPr>
          <w:p>
            <w:pPr>
              <w:spacing w:after="20" w:before="20" w:line="240" w:lineRule="auto"/>
            </w:pPr>
            <w:r>
              <w:rPr>
                <w:rFonts w:ascii="Calibri" w:hAnsi="Calibri"/>
                <w:b w:val="0"/>
                <w:sz w:val="16"/>
              </w:rPr>
              <w:t>Functional</w:t>
            </w:r>
          </w:p>
        </w:tc>
        <w:tc>
          <w:tcPr>
            <w:tcW w:w="520" w:type="dxa"/>
          </w:tcPr>
          <w:p>
            <w:pPr>
              <w:spacing w:after="20" w:before="20" w:line="240" w:lineRule="auto"/>
            </w:pPr>
            <w:r>
              <w:rPr>
                <w:rFonts w:ascii="Calibri" w:hAnsi="Calibri"/>
                <w:b w:val="0"/>
                <w:sz w:val="16"/>
              </w:rPr>
              <w:t>Medium</w:t>
            </w:r>
          </w:p>
        </w:tc>
        <w:tc>
          <w:tcPr>
            <w:tcW w:w="520" w:type="dxa"/>
          </w:tcPr>
          <w:p>
            <w:pPr>
              <w:spacing w:after="20" w:before="20" w:line="240" w:lineRule="auto"/>
            </w:pPr>
            <w:r>
              <w:rPr>
                <w:rFonts w:ascii="Calibri" w:hAnsi="Calibri"/>
                <w:b w:val="0"/>
                <w:sz w:val="16"/>
              </w:rPr>
              <w:t>Auditor</w:t>
            </w:r>
          </w:p>
        </w:tc>
        <w:tc>
          <w:tcPr>
            <w:tcW w:w="3818" w:type="dxa"/>
          </w:tcPr>
          <w:p>
            <w:pPr>
              <w:spacing w:after="20" w:before="20" w:line="240" w:lineRule="auto"/>
            </w:pPr>
            <w:r>
              <w:rPr>
                <w:rFonts w:ascii="Calibri" w:hAnsi="Calibri"/>
                <w:b w:val="0"/>
                <w:sz w:val="16"/>
              </w:rPr>
              <w:t xml:space="preserve">AC-IT-F-014: The JSON report shows the correct deficit and unallocated installs; its </w:t>
            </w:r>
            <w:r>
              <w:rPr>
                <w:rFonts w:ascii="Consolas" w:hAnsi="Consolas" w:eastAsia="Consolas"/>
                <w:b w:val="0"/>
                <w:sz w:val="15"/>
              </w:rPr>
              <w:t>contentSha256</w:t>
            </w:r>
            <w:r>
              <w:rPr>
                <w:rFonts w:ascii="Calibri" w:hAnsi="Calibri"/>
                <w:b w:val="0"/>
                <w:sz w:val="16"/>
              </w:rPr>
              <w:t xml:space="preserve"> matches the content; the CSV is downloadable with the hash in a header and neutralises spreadsheet formulas; employees get 403. Test: TC-AUD-03</w:t>
            </w:r>
          </w:p>
        </w:tc>
        <w:tc>
          <w:tcPr>
            <w:tcW w:w="520" w:type="dxa"/>
          </w:tcPr>
          <w:p>
            <w:pPr>
              <w:spacing w:after="20" w:before="20" w:line="240" w:lineRule="auto"/>
            </w:pPr>
          </w:p>
        </w:tc>
      </w:tr>
    </w:tbl>
    <w:p>
      <w:pPr>
        <w:spacing w:after="80"/>
      </w:pPr>
    </w:p>
    <w:p>
      <w:pPr>
        <w:pStyle w:val="Heading2"/>
      </w:pPr>
      <w:r>
        <w:rPr>
          <w:rFonts w:ascii="Calibri" w:hAnsi="Calibri"/>
          <w:b/>
          <w:color w:val="1F3B63"/>
        </w:rPr>
        <w:t>4.5 Maintenance and decommissioning</w:t>
      </w:r>
    </w:p>
    <w:p>
      <w:pPr>
        <w:jc w:val="both"/>
      </w:pPr>
      <w:r>
        <w:rPr>
          <w:rFonts w:ascii="Calibri" w:hAnsi="Calibri"/>
          <w:b w:val="0"/>
        </w:rPr>
        <w:t>Description: keep a service history and retire devices safely.</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20"/>
        <w:gridCol w:w="2537"/>
        <w:gridCol w:w="520"/>
        <w:gridCol w:w="520"/>
        <w:gridCol w:w="520"/>
        <w:gridCol w:w="4324"/>
        <w:gridCol w:w="520"/>
      </w:tblGrid>
      <w:tr>
        <w:trPr>
          <w:tblHeader w:val="true"/>
        </w:trPr>
        <w:tc>
          <w:tcPr>
            <w:shd w:val="clear" w:color="auto" w:fill="1F3B63"/>
            <w:tcW w:w="520" w:type="dxa"/>
          </w:tcPr>
          <w:p>
            <w:pPr>
              <w:spacing w:after="20" w:before="20"/>
            </w:pPr>
            <w:r>
              <w:rPr>
                <w:b/>
                <w:color w:val="FFFFFF"/>
                <w:sz w:val="16"/>
              </w:rPr>
              <w:t>Req ID</w:t>
            </w:r>
          </w:p>
        </w:tc>
        <w:tc>
          <w:tcPr>
            <w:shd w:val="clear" w:color="auto" w:fill="1F3B63"/>
            <w:tcW w:w="2537" w:type="dxa"/>
          </w:tcPr>
          <w:p>
            <w:pPr>
              <w:spacing w:after="20" w:before="20"/>
            </w:pPr>
            <w:r>
              <w:rPr>
                <w:b/>
                <w:color w:val="FFFFFF"/>
                <w:sz w:val="16"/>
              </w:rPr>
              <w:t>Requirement (The system shall...)</w:t>
            </w:r>
          </w:p>
        </w:tc>
        <w:tc>
          <w:tcPr>
            <w:shd w:val="clear" w:color="auto" w:fill="1F3B63"/>
            <w:tcW w:w="520" w:type="dxa"/>
          </w:tcPr>
          <w:p>
            <w:pPr>
              <w:spacing w:after="20" w:before="20"/>
            </w:pPr>
            <w:r>
              <w:rPr>
                <w:b/>
                <w:color w:val="FFFFFF"/>
                <w:sz w:val="16"/>
              </w:rPr>
              <w:t>Type</w:t>
            </w:r>
          </w:p>
        </w:tc>
        <w:tc>
          <w:tcPr>
            <w:shd w:val="clear" w:color="auto" w:fill="1F3B63"/>
            <w:tcW w:w="520" w:type="dxa"/>
          </w:tcPr>
          <w:p>
            <w:pPr>
              <w:spacing w:after="20" w:before="20"/>
            </w:pPr>
            <w:r>
              <w:rPr>
                <w:b/>
                <w:color w:val="FFFFFF"/>
                <w:sz w:val="16"/>
              </w:rPr>
              <w:t>Priority</w:t>
            </w:r>
          </w:p>
        </w:tc>
        <w:tc>
          <w:tcPr>
            <w:shd w:val="clear" w:color="auto" w:fill="1F3B63"/>
            <w:tcW w:w="520" w:type="dxa"/>
          </w:tcPr>
          <w:p>
            <w:pPr>
              <w:spacing w:after="20" w:before="20"/>
            </w:pPr>
            <w:r>
              <w:rPr>
                <w:b/>
                <w:color w:val="FFFFFF"/>
                <w:sz w:val="16"/>
              </w:rPr>
              <w:t>Source / Stakeholder</w:t>
            </w:r>
          </w:p>
        </w:tc>
        <w:tc>
          <w:tcPr>
            <w:shd w:val="clear" w:color="auto" w:fill="1F3B63"/>
            <w:tcW w:w="4324" w:type="dxa"/>
          </w:tcPr>
          <w:p>
            <w:pPr>
              <w:spacing w:after="20" w:before="20"/>
            </w:pPr>
            <w:r>
              <w:rPr>
                <w:b/>
                <w:color w:val="FFFFFF"/>
                <w:sz w:val="16"/>
              </w:rPr>
              <w:t>Acceptance criteria / Test case ref</w:t>
            </w:r>
          </w:p>
        </w:tc>
        <w:tc>
          <w:tcPr>
            <w:shd w:val="clear" w:color="auto" w:fill="1F3B63"/>
            <w:tcW w:w="520" w:type="dxa"/>
          </w:tcPr>
          <w:p>
            <w:pPr>
              <w:spacing w:after="20" w:before="20"/>
            </w:pPr>
            <w:r>
              <w:rPr>
                <w:b/>
                <w:color w:val="FFFFFF"/>
                <w:sz w:val="16"/>
              </w:rPr>
              <w:t>Comments / Dependencies</w:t>
            </w:r>
          </w:p>
        </w:tc>
      </w:tr>
      <w:tr>
        <w:tc>
          <w:tcPr>
            <w:tcW w:w="520" w:type="dxa"/>
          </w:tcPr>
          <w:p>
            <w:pPr>
              <w:spacing w:after="20" w:before="20" w:line="240" w:lineRule="auto"/>
            </w:pPr>
            <w:r>
              <w:rPr>
                <w:rFonts w:ascii="Calibri" w:hAnsi="Calibri"/>
                <w:b/>
                <w:sz w:val="16"/>
              </w:rPr>
              <w:t>IT-F-015</w:t>
            </w:r>
          </w:p>
        </w:tc>
        <w:tc>
          <w:tcPr>
            <w:tcW w:w="2537" w:type="dxa"/>
          </w:tcPr>
          <w:p>
            <w:pPr>
              <w:spacing w:after="20" w:before="20" w:line="240" w:lineRule="auto"/>
            </w:pPr>
            <w:r>
              <w:rPr>
                <w:rFonts w:ascii="Calibri" w:hAnsi="Calibri"/>
                <w:b w:val="0"/>
                <w:sz w:val="16"/>
              </w:rPr>
              <w:t>log maintenance (repair, upgrade, preventive, inspection) with technician, vendor, cost and parts, optionally taking the device out of service until the work is completed.</w:t>
            </w:r>
          </w:p>
        </w:tc>
        <w:tc>
          <w:tcPr>
            <w:tcW w:w="520" w:type="dxa"/>
          </w:tcPr>
          <w:p>
            <w:pPr>
              <w:spacing w:after="20" w:before="20" w:line="240" w:lineRule="auto"/>
            </w:pPr>
            <w:r>
              <w:rPr>
                <w:rFonts w:ascii="Calibri" w:hAnsi="Calibri"/>
                <w:b w:val="0"/>
                <w:sz w:val="16"/>
              </w:rPr>
              <w:t>Functional</w:t>
            </w:r>
          </w:p>
        </w:tc>
        <w:tc>
          <w:tcPr>
            <w:tcW w:w="520" w:type="dxa"/>
          </w:tcPr>
          <w:p>
            <w:pPr>
              <w:spacing w:after="20" w:before="20" w:line="240" w:lineRule="auto"/>
            </w:pPr>
            <w:r>
              <w:rPr>
                <w:rFonts w:ascii="Calibri" w:hAnsi="Calibri"/>
                <w:b w:val="0"/>
                <w:sz w:val="16"/>
              </w:rPr>
              <w:t>Medium</w:t>
            </w:r>
          </w:p>
        </w:tc>
        <w:tc>
          <w:tcPr>
            <w:tcW w:w="520" w:type="dxa"/>
          </w:tcPr>
          <w:p>
            <w:pPr>
              <w:spacing w:after="20" w:before="20" w:line="240" w:lineRule="auto"/>
            </w:pPr>
            <w:r>
              <w:rPr>
                <w:rFonts w:ascii="Calibri" w:hAnsi="Calibri"/>
                <w:b w:val="0"/>
                <w:sz w:val="16"/>
              </w:rPr>
              <w:t>IT Technician</w:t>
            </w:r>
          </w:p>
        </w:tc>
        <w:tc>
          <w:tcPr>
            <w:tcW w:w="4324" w:type="dxa"/>
          </w:tcPr>
          <w:p>
            <w:pPr>
              <w:spacing w:after="20" w:before="20" w:line="240" w:lineRule="auto"/>
            </w:pPr>
            <w:r>
              <w:rPr>
                <w:rFonts w:ascii="Calibri" w:hAnsi="Calibri"/>
                <w:b w:val="0"/>
                <w:sz w:val="16"/>
              </w:rPr>
              <w:t xml:space="preserve">AC-IT-F-015: In-place work is recorded as completed and adds its cost to the asset total; out-of-service work requires the asset to be checked in, sets </w:t>
            </w:r>
            <w:r>
              <w:rPr>
                <w:rFonts w:ascii="Consolas" w:hAnsi="Consolas" w:eastAsia="Consolas"/>
                <w:b w:val="0"/>
                <w:sz w:val="15"/>
              </w:rPr>
              <w:t>UNDER_REPAIR</w:t>
            </w:r>
            <w:r>
              <w:rPr>
                <w:rFonts w:ascii="Calibri" w:hAnsi="Calibri"/>
                <w:b w:val="0"/>
                <w:sz w:val="16"/>
              </w:rPr>
              <w:t xml:space="preserve"> and blocks check-out; completion restores </w:t>
            </w:r>
            <w:r>
              <w:rPr>
                <w:rFonts w:ascii="Consolas" w:hAnsi="Consolas" w:eastAsia="Consolas"/>
                <w:b w:val="0"/>
                <w:sz w:val="15"/>
              </w:rPr>
              <w:t>AVAILABLE</w:t>
            </w:r>
            <w:r>
              <w:rPr>
                <w:rFonts w:ascii="Calibri" w:hAnsi="Calibri"/>
                <w:b w:val="0"/>
                <w:sz w:val="16"/>
              </w:rPr>
              <w:t>. Test: TC-MAINT-01</w:t>
            </w:r>
          </w:p>
        </w:tc>
        <w:tc>
          <w:tcPr>
            <w:tcW w:w="520" w:type="dxa"/>
          </w:tcPr>
          <w:p>
            <w:pPr>
              <w:spacing w:after="20" w:before="20" w:line="240" w:lineRule="auto"/>
            </w:pPr>
          </w:p>
        </w:tc>
      </w:tr>
      <w:tr>
        <w:tc>
          <w:tcPr>
            <w:shd w:val="clear" w:color="auto" w:fill="F7F9FC"/>
            <w:tcW w:w="520" w:type="dxa"/>
          </w:tcPr>
          <w:p>
            <w:pPr>
              <w:spacing w:after="20" w:before="20" w:line="240" w:lineRule="auto"/>
            </w:pPr>
            <w:r>
              <w:rPr>
                <w:rFonts w:ascii="Calibri" w:hAnsi="Calibri"/>
                <w:b/>
                <w:sz w:val="16"/>
              </w:rPr>
              <w:t>IT-F-016</w:t>
            </w:r>
          </w:p>
        </w:tc>
        <w:tc>
          <w:tcPr>
            <w:shd w:val="clear" w:color="auto" w:fill="F7F9FC"/>
            <w:tcW w:w="2537" w:type="dxa"/>
          </w:tcPr>
          <w:p>
            <w:pPr>
              <w:spacing w:after="20" w:before="20" w:line="240" w:lineRule="auto"/>
            </w:pPr>
            <w:r>
              <w:rPr>
                <w:rFonts w:ascii="Calibri" w:hAnsi="Calibri"/>
                <w:b w:val="0"/>
                <w:sz w:val="16"/>
              </w:rPr>
              <w:t>decommission a checked-in asset with a NIST SP 800-88 sanitisation certificate, reclaim all of its license seats and make the asset terminal.</w:t>
            </w:r>
          </w:p>
        </w:tc>
        <w:tc>
          <w:tcPr>
            <w:shd w:val="clear" w:color="auto" w:fill="F7F9FC"/>
            <w:tcW w:w="520" w:type="dxa"/>
          </w:tcPr>
          <w:p>
            <w:pPr>
              <w:spacing w:after="20" w:before="20" w:line="240" w:lineRule="auto"/>
            </w:pPr>
            <w:r>
              <w:rPr>
                <w:rFonts w:ascii="Calibri" w:hAnsi="Calibri"/>
                <w:b w:val="0"/>
                <w:sz w:val="16"/>
              </w:rPr>
              <w:t>Functional</w:t>
            </w:r>
          </w:p>
        </w:tc>
        <w:tc>
          <w:tcPr>
            <w:shd w:val="clear" w:color="auto" w:fill="F7F9FC"/>
            <w:tcW w:w="520" w:type="dxa"/>
          </w:tcPr>
          <w:p>
            <w:pPr>
              <w:spacing w:after="20" w:before="20" w:line="240" w:lineRule="auto"/>
            </w:pPr>
            <w:r>
              <w:rPr>
                <w:rFonts w:ascii="Calibri" w:hAnsi="Calibri"/>
                <w:b w:val="0"/>
                <w:sz w:val="16"/>
              </w:rPr>
              <w:t>Medium</w:t>
            </w:r>
          </w:p>
        </w:tc>
        <w:tc>
          <w:tcPr>
            <w:shd w:val="clear" w:color="auto" w:fill="F7F9FC"/>
            <w:tcW w:w="520" w:type="dxa"/>
          </w:tcPr>
          <w:p>
            <w:pPr>
              <w:spacing w:after="20" w:before="20" w:line="240" w:lineRule="auto"/>
            </w:pPr>
            <w:r>
              <w:rPr>
                <w:rFonts w:ascii="Calibri" w:hAnsi="Calibri"/>
                <w:b w:val="0"/>
                <w:sz w:val="16"/>
              </w:rPr>
              <w:t>IT Administrator, Compliance</w:t>
            </w:r>
          </w:p>
        </w:tc>
        <w:tc>
          <w:tcPr>
            <w:shd w:val="clear" w:color="auto" w:fill="F7F9FC"/>
            <w:tcW w:w="4324" w:type="dxa"/>
          </w:tcPr>
          <w:p>
            <w:pPr>
              <w:spacing w:after="20" w:before="20" w:line="240" w:lineRule="auto"/>
            </w:pPr>
            <w:r>
              <w:rPr>
                <w:rFonts w:ascii="Calibri" w:hAnsi="Calibri"/>
                <w:b w:val="0"/>
                <w:sz w:val="16"/>
              </w:rPr>
              <w:t xml:space="preserve">AC-IT-F-016: Decommissioning without a certificate returns 400, while in use returns 409 and by a technician returns 403; on success status is </w:t>
            </w:r>
            <w:r>
              <w:rPr>
                <w:rFonts w:ascii="Consolas" w:hAnsi="Consolas" w:eastAsia="Consolas"/>
                <w:b w:val="0"/>
                <w:sz w:val="15"/>
              </w:rPr>
              <w:t>DECOMMISSIONED</w:t>
            </w:r>
            <w:r>
              <w:rPr>
                <w:rFonts w:ascii="Calibri" w:hAnsi="Calibri"/>
                <w:b w:val="0"/>
                <w:sz w:val="16"/>
              </w:rPr>
              <w:t>, the certificate is stored and every seat held by the asset is reclaimed; further check-out, allocation or telemetry returns 409. Test: TC-MAINT-02</w:t>
            </w:r>
          </w:p>
        </w:tc>
        <w:tc>
          <w:tcPr>
            <w:shd w:val="clear" w:color="auto" w:fill="F7F9FC"/>
            <w:tcW w:w="520" w:type="dxa"/>
          </w:tcPr>
          <w:p>
            <w:pPr>
              <w:spacing w:after="20" w:before="20" w:line="240" w:lineRule="auto"/>
            </w:pPr>
            <w:r>
              <w:rPr>
                <w:rFonts w:ascii="Calibri" w:hAnsi="Calibri"/>
                <w:b w:val="0"/>
                <w:sz w:val="16"/>
              </w:rPr>
              <w:t>Uses IT-F-006</w:t>
            </w:r>
          </w:p>
        </w:tc>
      </w:tr>
    </w:tbl>
    <w:p>
      <w:pPr>
        <w:spacing w:after="80"/>
      </w:pPr>
    </w:p>
    <w:p>
      <w:pPr>
        <w:pStyle w:val="Heading1"/>
        <w:pBdr>
          <w:bottom w:val="single" w:sz="6" w:space="4" w:color="C9D2DD"/>
        </w:pBdr>
      </w:pPr>
      <w:r>
        <w:rPr>
          <w:rFonts w:ascii="Calibri" w:hAnsi="Calibri"/>
          <w:b/>
          <w:color w:val="1F3B63"/>
        </w:rPr>
        <w:t>5. Non-functional requirements (detailed)</w:t>
      </w:r>
    </w:p>
    <w:p>
      <w:pPr>
        <w:jc w:val="both"/>
      </w:pPr>
      <w:r>
        <w:rPr>
          <w:rFonts w:ascii="Calibri" w:hAnsi="Calibri"/>
          <w:b w:val="0"/>
        </w:rPr>
        <w:t>NFRs below are measurable and tied to automated tests. IDs follow IT-NF-###.</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20"/>
        <w:gridCol w:w="3373"/>
        <w:gridCol w:w="520"/>
        <w:gridCol w:w="520"/>
        <w:gridCol w:w="4528"/>
      </w:tblGrid>
      <w:tr>
        <w:trPr>
          <w:tblHeader w:val="true"/>
        </w:trPr>
        <w:tc>
          <w:tcPr>
            <w:shd w:val="clear" w:color="auto" w:fill="1F3B63"/>
            <w:tcW w:w="520" w:type="dxa"/>
          </w:tcPr>
          <w:p>
            <w:pPr>
              <w:spacing w:after="20" w:before="20"/>
            </w:pPr>
            <w:r>
              <w:rPr>
                <w:b/>
                <w:color w:val="FFFFFF"/>
                <w:sz w:val="18"/>
              </w:rPr>
              <w:t>Req ID</w:t>
            </w:r>
          </w:p>
        </w:tc>
        <w:tc>
          <w:tcPr>
            <w:shd w:val="clear" w:color="auto" w:fill="1F3B63"/>
            <w:tcW w:w="3373" w:type="dxa"/>
          </w:tcPr>
          <w:p>
            <w:pPr>
              <w:spacing w:after="20" w:before="20"/>
            </w:pPr>
            <w:r>
              <w:rPr>
                <w:b/>
                <w:color w:val="FFFFFF"/>
                <w:sz w:val="18"/>
              </w:rPr>
              <w:t>Requirement</w:t>
            </w:r>
          </w:p>
        </w:tc>
        <w:tc>
          <w:tcPr>
            <w:shd w:val="clear" w:color="auto" w:fill="1F3B63"/>
            <w:tcW w:w="520" w:type="dxa"/>
          </w:tcPr>
          <w:p>
            <w:pPr>
              <w:spacing w:after="20" w:before="20"/>
            </w:pPr>
            <w:r>
              <w:rPr>
                <w:b/>
                <w:color w:val="FFFFFF"/>
                <w:sz w:val="18"/>
              </w:rPr>
              <w:t>Category</w:t>
            </w:r>
          </w:p>
        </w:tc>
        <w:tc>
          <w:tcPr>
            <w:shd w:val="clear" w:color="auto" w:fill="1F3B63"/>
            <w:tcW w:w="520" w:type="dxa"/>
          </w:tcPr>
          <w:p>
            <w:pPr>
              <w:spacing w:after="20" w:before="20"/>
            </w:pPr>
            <w:r>
              <w:rPr>
                <w:b/>
                <w:color w:val="FFFFFF"/>
                <w:sz w:val="18"/>
              </w:rPr>
              <w:t>Priority</w:t>
            </w:r>
          </w:p>
        </w:tc>
        <w:tc>
          <w:tcPr>
            <w:shd w:val="clear" w:color="auto" w:fill="1F3B63"/>
            <w:tcW w:w="4528" w:type="dxa"/>
          </w:tcPr>
          <w:p>
            <w:pPr>
              <w:spacing w:after="20" w:before="20"/>
            </w:pPr>
            <w:r>
              <w:rPr>
                <w:b/>
                <w:color w:val="FFFFFF"/>
                <w:sz w:val="18"/>
              </w:rPr>
              <w:t>Acceptance criteria / Measurement</w:t>
            </w:r>
          </w:p>
        </w:tc>
      </w:tr>
      <w:tr>
        <w:tc>
          <w:tcPr>
            <w:tcW w:w="520" w:type="dxa"/>
          </w:tcPr>
          <w:p>
            <w:pPr>
              <w:spacing w:after="20" w:before="20" w:line="240" w:lineRule="auto"/>
            </w:pPr>
            <w:r>
              <w:rPr>
                <w:rFonts w:ascii="Calibri" w:hAnsi="Calibri"/>
                <w:b/>
                <w:sz w:val="18"/>
              </w:rPr>
              <w:t>IT-NF-001</w:t>
            </w:r>
          </w:p>
        </w:tc>
        <w:tc>
          <w:tcPr>
            <w:tcW w:w="3373" w:type="dxa"/>
          </w:tcPr>
          <w:p>
            <w:pPr>
              <w:spacing w:after="20" w:before="20" w:line="240" w:lineRule="auto"/>
            </w:pPr>
            <w:r>
              <w:rPr>
                <w:rFonts w:ascii="Calibri" w:hAnsi="Calibri"/>
                <w:b w:val="0"/>
                <w:sz w:val="18"/>
              </w:rPr>
              <w:t>The API shall answer a mixed read/write workload from 50 concurrent clients with 95th-percentile latency of at most 300 ms.</w:t>
            </w:r>
          </w:p>
        </w:tc>
        <w:tc>
          <w:tcPr>
            <w:tcW w:w="520" w:type="dxa"/>
          </w:tcPr>
          <w:p>
            <w:pPr>
              <w:spacing w:after="20" w:before="20" w:line="240" w:lineRule="auto"/>
            </w:pPr>
            <w:r>
              <w:rPr>
                <w:rFonts w:ascii="Calibri" w:hAnsi="Calibri"/>
                <w:b w:val="0"/>
                <w:sz w:val="18"/>
              </w:rPr>
              <w:t>Performance</w:t>
            </w:r>
          </w:p>
        </w:tc>
        <w:tc>
          <w:tcPr>
            <w:tcW w:w="520" w:type="dxa"/>
          </w:tcPr>
          <w:p>
            <w:pPr>
              <w:spacing w:after="20" w:before="20" w:line="240" w:lineRule="auto"/>
            </w:pPr>
            <w:r>
              <w:rPr>
                <w:rFonts w:ascii="Calibri" w:hAnsi="Calibri"/>
                <w:b w:val="0"/>
                <w:sz w:val="18"/>
              </w:rPr>
              <w:t>High</w:t>
            </w:r>
          </w:p>
        </w:tc>
        <w:tc>
          <w:tcPr>
            <w:tcW w:w="4528" w:type="dxa"/>
          </w:tcPr>
          <w:p>
            <w:pPr>
              <w:spacing w:after="20" w:before="20" w:line="240" w:lineRule="auto"/>
            </w:pPr>
            <w:r>
              <w:rPr>
                <w:rFonts w:ascii="Calibri" w:hAnsi="Calibri"/>
                <w:b w:val="0"/>
                <w:sz w:val="18"/>
              </w:rPr>
              <w:t>1,000 requests (50% reads by ID, 20% filtered searches, 30% creates) complete with no errors and p95 at most 300 ms on the CI runner. Test: TC-PERF-01</w:t>
            </w:r>
          </w:p>
        </w:tc>
      </w:tr>
      <w:tr>
        <w:tc>
          <w:tcPr>
            <w:shd w:val="clear" w:color="auto" w:fill="F7F9FC"/>
            <w:tcW w:w="520" w:type="dxa"/>
          </w:tcPr>
          <w:p>
            <w:pPr>
              <w:spacing w:after="20" w:before="20" w:line="240" w:lineRule="auto"/>
            </w:pPr>
            <w:r>
              <w:rPr>
                <w:rFonts w:ascii="Calibri" w:hAnsi="Calibri"/>
                <w:b/>
                <w:sz w:val="18"/>
              </w:rPr>
              <w:t>IT-NF-002</w:t>
            </w:r>
          </w:p>
        </w:tc>
        <w:tc>
          <w:tcPr>
            <w:shd w:val="clear" w:color="auto" w:fill="F7F9FC"/>
            <w:tcW w:w="3373" w:type="dxa"/>
          </w:tcPr>
          <w:p>
            <w:pPr>
              <w:spacing w:after="20" w:before="20" w:line="240" w:lineRule="auto"/>
            </w:pPr>
            <w:r>
              <w:rPr>
                <w:rFonts w:ascii="Calibri" w:hAnsi="Calibri"/>
                <w:b w:val="0"/>
                <w:sz w:val="18"/>
              </w:rPr>
              <w:t xml:space="preserve">The service shall expose liveness and readiness probes, keep serving when a request handler fails, and shut down gracefully. Target: 99.9% monthly availability measured by external monitoring of </w:t>
            </w:r>
            <w:r>
              <w:rPr>
                <w:rFonts w:ascii="Consolas" w:hAnsi="Consolas" w:eastAsia="Consolas"/>
                <w:b w:val="0"/>
                <w:sz w:val="17"/>
              </w:rPr>
              <w:t>/health/ready</w:t>
            </w:r>
            <w:r>
              <w:rPr>
                <w:rFonts w:ascii="Calibri" w:hAnsi="Calibri"/>
                <w:b w:val="0"/>
                <w:sz w:val="18"/>
              </w:rPr>
              <w:t>.</w:t>
            </w:r>
          </w:p>
        </w:tc>
        <w:tc>
          <w:tcPr>
            <w:shd w:val="clear" w:color="auto" w:fill="F7F9FC"/>
            <w:tcW w:w="520" w:type="dxa"/>
          </w:tcPr>
          <w:p>
            <w:pPr>
              <w:spacing w:after="20" w:before="20" w:line="240" w:lineRule="auto"/>
            </w:pPr>
            <w:r>
              <w:rPr>
                <w:rFonts w:ascii="Calibri" w:hAnsi="Calibri"/>
                <w:b w:val="0"/>
                <w:sz w:val="18"/>
              </w:rPr>
              <w:t>Reliability</w:t>
            </w:r>
          </w:p>
        </w:tc>
        <w:tc>
          <w:tcPr>
            <w:shd w:val="clear" w:color="auto" w:fill="F7F9FC"/>
            <w:tcW w:w="520" w:type="dxa"/>
          </w:tcPr>
          <w:p>
            <w:pPr>
              <w:spacing w:after="20" w:before="20" w:line="240" w:lineRule="auto"/>
            </w:pPr>
            <w:r>
              <w:rPr>
                <w:rFonts w:ascii="Calibri" w:hAnsi="Calibri"/>
                <w:b w:val="0"/>
                <w:sz w:val="18"/>
              </w:rPr>
              <w:t>High</w:t>
            </w:r>
          </w:p>
        </w:tc>
        <w:tc>
          <w:tcPr>
            <w:shd w:val="clear" w:color="auto" w:fill="F7F9FC"/>
            <w:tcW w:w="4528" w:type="dxa"/>
          </w:tcPr>
          <w:p>
            <w:pPr>
              <w:spacing w:after="20" w:before="20" w:line="240" w:lineRule="auto"/>
            </w:pPr>
            <w:r>
              <w:rPr>
                <w:rFonts w:ascii="Calibri" w:hAnsi="Calibri"/>
                <w:b w:val="0"/>
                <w:sz w:val="18"/>
              </w:rPr>
              <w:t>Probes answer 200 in under 100 ms; an unexpected handler error returns 500 without internal details and the server keeps serving; in-flight requests finish during shutdown; SIGTERM persists data and exits with code 0 within 5 s. Test: TC-REL-01</w:t>
            </w:r>
          </w:p>
        </w:tc>
      </w:tr>
      <w:tr>
        <w:tc>
          <w:tcPr>
            <w:tcW w:w="520" w:type="dxa"/>
          </w:tcPr>
          <w:p>
            <w:pPr>
              <w:spacing w:after="20" w:before="20" w:line="240" w:lineRule="auto"/>
            </w:pPr>
            <w:r>
              <w:rPr>
                <w:rFonts w:ascii="Calibri" w:hAnsi="Calibri"/>
                <w:b/>
                <w:sz w:val="18"/>
              </w:rPr>
              <w:t>IT-NF-003</w:t>
            </w:r>
          </w:p>
        </w:tc>
        <w:tc>
          <w:tcPr>
            <w:tcW w:w="3373" w:type="dxa"/>
          </w:tcPr>
          <w:p>
            <w:pPr>
              <w:spacing w:after="20" w:before="20" w:line="240" w:lineRule="auto"/>
            </w:pPr>
            <w:r>
              <w:rPr>
                <w:rFonts w:ascii="Calibri" w:hAnsi="Calibri"/>
                <w:b w:val="0"/>
                <w:sz w:val="18"/>
              </w:rPr>
              <w:t>The system shall hold 50,000 hardware assets and 100,000 allocated license seats while meeting query budgets.</w:t>
            </w:r>
          </w:p>
        </w:tc>
        <w:tc>
          <w:tcPr>
            <w:tcW w:w="520" w:type="dxa"/>
          </w:tcPr>
          <w:p>
            <w:pPr>
              <w:spacing w:after="20" w:before="20" w:line="240" w:lineRule="auto"/>
            </w:pPr>
            <w:r>
              <w:rPr>
                <w:rFonts w:ascii="Calibri" w:hAnsi="Calibri"/>
                <w:b w:val="0"/>
                <w:sz w:val="18"/>
              </w:rPr>
              <w:t>Scalability</w:t>
            </w:r>
          </w:p>
        </w:tc>
        <w:tc>
          <w:tcPr>
            <w:tcW w:w="520" w:type="dxa"/>
          </w:tcPr>
          <w:p>
            <w:pPr>
              <w:spacing w:after="20" w:before="20" w:line="240" w:lineRule="auto"/>
            </w:pPr>
            <w:r>
              <w:rPr>
                <w:rFonts w:ascii="Calibri" w:hAnsi="Calibri"/>
                <w:b w:val="0"/>
                <w:sz w:val="18"/>
              </w:rPr>
              <w:t>Medium</w:t>
            </w:r>
          </w:p>
        </w:tc>
        <w:tc>
          <w:tcPr>
            <w:tcW w:w="4528" w:type="dxa"/>
          </w:tcPr>
          <w:p>
            <w:pPr>
              <w:spacing w:after="20" w:before="20" w:line="240" w:lineRule="auto"/>
            </w:pPr>
            <w:r>
              <w:rPr>
                <w:rFonts w:ascii="Calibri" w:hAnsi="Calibri"/>
                <w:b w:val="0"/>
                <w:sz w:val="18"/>
              </w:rPr>
              <w:t>With that data set: indexed lookup by tag or ID under 100 ms, filtered and paginated search under 1 s, full compliance report under 5 s. Test: TC-SCALE-01</w:t>
            </w:r>
          </w:p>
        </w:tc>
      </w:tr>
      <w:tr>
        <w:tc>
          <w:tcPr>
            <w:shd w:val="clear" w:color="auto" w:fill="F7F9FC"/>
            <w:tcW w:w="520" w:type="dxa"/>
          </w:tcPr>
          <w:p>
            <w:pPr>
              <w:spacing w:after="20" w:before="20" w:line="240" w:lineRule="auto"/>
            </w:pPr>
            <w:r>
              <w:rPr>
                <w:rFonts w:ascii="Calibri" w:hAnsi="Calibri"/>
                <w:b/>
                <w:sz w:val="18"/>
              </w:rPr>
              <w:t>IT-NF-004</w:t>
            </w:r>
          </w:p>
        </w:tc>
        <w:tc>
          <w:tcPr>
            <w:shd w:val="clear" w:color="auto" w:fill="F7F9FC"/>
            <w:tcW w:w="3373" w:type="dxa"/>
          </w:tcPr>
          <w:p>
            <w:pPr>
              <w:spacing w:after="20" w:before="20" w:line="240" w:lineRule="auto"/>
            </w:pPr>
            <w:r>
              <w:rPr>
                <w:rFonts w:ascii="Calibri" w:hAnsi="Calibri"/>
                <w:b w:val="0"/>
                <w:sz w:val="18"/>
              </w:rPr>
              <w:t>Every state change shall be recorded in an append-only audit trail (actor, role, IP address, timestamp, action, entity) chained with SHA-256 hashes; no interface may alter or delete entries; records are retained for at least 7 years.</w:t>
            </w:r>
          </w:p>
        </w:tc>
        <w:tc>
          <w:tcPr>
            <w:shd w:val="clear" w:color="auto" w:fill="F7F9FC"/>
            <w:tcW w:w="520" w:type="dxa"/>
          </w:tcPr>
          <w:p>
            <w:pPr>
              <w:spacing w:after="20" w:before="20" w:line="240" w:lineRule="auto"/>
            </w:pPr>
            <w:r>
              <w:rPr>
                <w:rFonts w:ascii="Calibri" w:hAnsi="Calibri"/>
                <w:b w:val="0"/>
                <w:sz w:val="18"/>
              </w:rPr>
              <w:t>Auditability</w:t>
            </w:r>
          </w:p>
        </w:tc>
        <w:tc>
          <w:tcPr>
            <w:shd w:val="clear" w:color="auto" w:fill="F7F9FC"/>
            <w:tcW w:w="520" w:type="dxa"/>
          </w:tcPr>
          <w:p>
            <w:pPr>
              <w:spacing w:after="20" w:before="20" w:line="240" w:lineRule="auto"/>
            </w:pPr>
            <w:r>
              <w:rPr>
                <w:rFonts w:ascii="Calibri" w:hAnsi="Calibri"/>
                <w:b w:val="0"/>
                <w:sz w:val="18"/>
              </w:rPr>
              <w:t>High</w:t>
            </w:r>
          </w:p>
        </w:tc>
        <w:tc>
          <w:tcPr>
            <w:shd w:val="clear" w:color="auto" w:fill="F7F9FC"/>
            <w:tcW w:w="4528" w:type="dxa"/>
          </w:tcPr>
          <w:p>
            <w:pPr>
              <w:spacing w:after="20" w:before="20" w:line="240" w:lineRule="auto"/>
            </w:pPr>
            <w:r>
              <w:rPr>
                <w:rFonts w:ascii="Calibri" w:hAnsi="Calibri"/>
                <w:b w:val="0"/>
                <w:sz w:val="18"/>
              </w:rPr>
              <w:t>No API modifies or deletes audit entries (405); editing an entry, editing and re-hashing it, or deleting an entry in the stored file is detected by verification; entries are included in every backup. Test: TC-AUDIT-01</w:t>
            </w:r>
          </w:p>
        </w:tc>
      </w:tr>
      <w:tr>
        <w:tc>
          <w:tcPr>
            <w:tcW w:w="520" w:type="dxa"/>
          </w:tcPr>
          <w:p>
            <w:pPr>
              <w:spacing w:after="20" w:before="20" w:line="240" w:lineRule="auto"/>
            </w:pPr>
            <w:r>
              <w:rPr>
                <w:rFonts w:ascii="Calibri" w:hAnsi="Calibri"/>
                <w:b/>
                <w:sz w:val="18"/>
              </w:rPr>
              <w:t>IT-NF-005</w:t>
            </w:r>
          </w:p>
        </w:tc>
        <w:tc>
          <w:tcPr>
            <w:tcW w:w="3373" w:type="dxa"/>
          </w:tcPr>
          <w:p>
            <w:pPr>
              <w:spacing w:after="20" w:before="20" w:line="240" w:lineRule="auto"/>
            </w:pPr>
            <w:r>
              <w:rPr>
                <w:rFonts w:ascii="Calibri" w:hAnsi="Calibri"/>
                <w:b w:val="0"/>
                <w:sz w:val="18"/>
              </w:rPr>
              <w:t>The dashboard shall follow WCAG 2.1 Level AA.</w:t>
            </w:r>
          </w:p>
        </w:tc>
        <w:tc>
          <w:tcPr>
            <w:tcW w:w="520" w:type="dxa"/>
          </w:tcPr>
          <w:p>
            <w:pPr>
              <w:spacing w:after="20" w:before="20" w:line="240" w:lineRule="auto"/>
            </w:pPr>
            <w:r>
              <w:rPr>
                <w:rFonts w:ascii="Calibri" w:hAnsi="Calibri"/>
                <w:b w:val="0"/>
                <w:sz w:val="18"/>
              </w:rPr>
              <w:t>Usability / Accessibility</w:t>
            </w:r>
          </w:p>
        </w:tc>
        <w:tc>
          <w:tcPr>
            <w:tcW w:w="520" w:type="dxa"/>
          </w:tcPr>
          <w:p>
            <w:pPr>
              <w:spacing w:after="20" w:before="20" w:line="240" w:lineRule="auto"/>
            </w:pPr>
            <w:r>
              <w:rPr>
                <w:rFonts w:ascii="Calibri" w:hAnsi="Calibri"/>
                <w:b w:val="0"/>
                <w:sz w:val="18"/>
              </w:rPr>
              <w:t>Medium</w:t>
            </w:r>
          </w:p>
        </w:tc>
        <w:tc>
          <w:tcPr>
            <w:tcW w:w="4528" w:type="dxa"/>
          </w:tcPr>
          <w:p>
            <w:pPr>
              <w:spacing w:after="20" w:before="20" w:line="240" w:lineRule="auto"/>
            </w:pPr>
            <w:r>
              <w:rPr>
                <w:rFonts w:ascii="Calibri" w:hAnsi="Calibri"/>
                <w:b w:val="0"/>
                <w:sz w:val="18"/>
              </w:rPr>
              <w:t>Automated checks pass: page language, form labels, skip link, main landmark, live status region, table captions and header scopes, heading order, no inline script or style, text contrast of at least 4.5:1 in light and dark themes, visible focus indicator. Test: TC-UX-01</w:t>
            </w:r>
          </w:p>
        </w:tc>
      </w:tr>
      <w:tr>
        <w:tc>
          <w:tcPr>
            <w:shd w:val="clear" w:color="auto" w:fill="F7F9FC"/>
            <w:tcW w:w="520" w:type="dxa"/>
          </w:tcPr>
          <w:p>
            <w:pPr>
              <w:spacing w:after="20" w:before="20" w:line="240" w:lineRule="auto"/>
            </w:pPr>
            <w:r>
              <w:rPr>
                <w:rFonts w:ascii="Calibri" w:hAnsi="Calibri"/>
                <w:b/>
                <w:sz w:val="18"/>
              </w:rPr>
              <w:t>IT-NF-006</w:t>
            </w:r>
          </w:p>
        </w:tc>
        <w:tc>
          <w:tcPr>
            <w:shd w:val="clear" w:color="auto" w:fill="F7F9FC"/>
            <w:tcW w:w="3373" w:type="dxa"/>
          </w:tcPr>
          <w:p>
            <w:pPr>
              <w:spacing w:after="20" w:before="20" w:line="240" w:lineRule="auto"/>
            </w:pPr>
            <w:r>
              <w:rPr>
                <w:rFonts w:ascii="Calibri" w:hAnsi="Calibri"/>
                <w:b w:val="0"/>
                <w:sz w:val="18"/>
              </w:rPr>
              <w:t>Data shall be recoverable after a crash or loss of the data file with RPO at most 1 s and RTO at most 2 hours.</w:t>
            </w:r>
          </w:p>
        </w:tc>
        <w:tc>
          <w:tcPr>
            <w:shd w:val="clear" w:color="auto" w:fill="F7F9FC"/>
            <w:tcW w:w="520" w:type="dxa"/>
          </w:tcPr>
          <w:p>
            <w:pPr>
              <w:spacing w:after="20" w:before="20" w:line="240" w:lineRule="auto"/>
            </w:pPr>
            <w:r>
              <w:rPr>
                <w:rFonts w:ascii="Calibri" w:hAnsi="Calibri"/>
                <w:b w:val="0"/>
                <w:sz w:val="18"/>
              </w:rPr>
              <w:t>Disaster Recovery</w:t>
            </w:r>
          </w:p>
        </w:tc>
        <w:tc>
          <w:tcPr>
            <w:shd w:val="clear" w:color="auto" w:fill="F7F9FC"/>
            <w:tcW w:w="520" w:type="dxa"/>
          </w:tcPr>
          <w:p>
            <w:pPr>
              <w:spacing w:after="20" w:before="20" w:line="240" w:lineRule="auto"/>
            </w:pPr>
            <w:r>
              <w:rPr>
                <w:rFonts w:ascii="Calibri" w:hAnsi="Calibri"/>
                <w:b w:val="0"/>
                <w:sz w:val="18"/>
              </w:rPr>
              <w:t>Medium</w:t>
            </w:r>
          </w:p>
        </w:tc>
        <w:tc>
          <w:tcPr>
            <w:shd w:val="clear" w:color="auto" w:fill="F7F9FC"/>
            <w:tcW w:w="4528" w:type="dxa"/>
          </w:tcPr>
          <w:p>
            <w:pPr>
              <w:spacing w:after="20" w:before="20" w:line="240" w:lineRule="auto"/>
            </w:pPr>
            <w:r>
              <w:rPr>
                <w:rFonts w:ascii="Calibri" w:hAnsi="Calibri"/>
                <w:b w:val="0"/>
                <w:sz w:val="18"/>
              </w:rPr>
              <w:t>Changes reach the snapshot within 200 ms; after an unclean stop a restarted instance has every acknowledged write; encrypted backups restore with checksum verification and the service serves again well within the RTO; tampered backups or a wrong key are refused. Test: TC-DR-01</w:t>
            </w:r>
          </w:p>
        </w:tc>
      </w:tr>
    </w:tbl>
    <w:p>
      <w:pPr>
        <w:spacing w:after="80"/>
      </w:pPr>
    </w:p>
    <w:p>
      <w:pPr>
        <w:pStyle w:val="Heading2"/>
      </w:pPr>
      <w:r>
        <w:rPr>
          <w:rFonts w:ascii="Calibri" w:hAnsi="Calibri"/>
          <w:b/>
          <w:color w:val="1F3B63"/>
        </w:rPr>
        <w:t>5.1 Security</w:t>
      </w:r>
    </w:p>
    <w:p>
      <w:pPr>
        <w:pStyle w:val="Heading3"/>
      </w:pPr>
      <w:r>
        <w:rPr>
          <w:rFonts w:ascii="Calibri" w:hAnsi="Calibri"/>
          <w:b/>
          <w:color w:val="1F3B63"/>
        </w:rPr>
        <w:t>5.1.1 Security Objectives</w:t>
      </w:r>
    </w:p>
    <w:p>
      <w:pPr>
        <w:pStyle w:val="ListNumber"/>
        <w:spacing w:after="40"/>
      </w:pPr>
      <w:r>
        <w:rPr>
          <w:rFonts w:ascii="Calibri" w:hAnsi="Calibri"/>
          <w:b/>
        </w:rPr>
        <w:t>Confidentiality:</w:t>
      </w:r>
      <w:r>
        <w:rPr>
          <w:rFonts w:ascii="Calibri" w:hAnsi="Calibri"/>
          <w:b w:val="0"/>
        </w:rPr>
        <w:t xml:space="preserve"> license product keys, asset data and credentials are disclosed only to authorised roles; secrets are encrypted at rest and in transit.</w:t>
      </w:r>
    </w:p>
    <w:p>
      <w:pPr>
        <w:pStyle w:val="ListNumber"/>
        <w:spacing w:after="40"/>
      </w:pPr>
      <w:r>
        <w:rPr>
          <w:rFonts w:ascii="Calibri" w:hAnsi="Calibri"/>
          <w:b/>
        </w:rPr>
        <w:t>Integrity and non-repudiation:</w:t>
      </w:r>
      <w:r>
        <w:rPr>
          <w:rFonts w:ascii="Calibri" w:hAnsi="Calibri"/>
          <w:b w:val="0"/>
        </w:rPr>
        <w:t xml:space="preserve"> approvals, allocations and decommissioning records cannot be forged or silently altered, and every action is attributable to an authenticated user.</w:t>
      </w:r>
    </w:p>
    <w:p>
      <w:pPr>
        <w:pStyle w:val="ListNumber"/>
        <w:spacing w:after="40"/>
      </w:pPr>
      <w:r>
        <w:rPr>
          <w:rFonts w:ascii="Calibri" w:hAnsi="Calibri"/>
          <w:b/>
        </w:rPr>
        <w:t>Least privilege:</w:t>
      </w:r>
      <w:r>
        <w:rPr>
          <w:rFonts w:ascii="Calibri" w:hAnsi="Calibri"/>
          <w:b w:val="0"/>
        </w:rPr>
        <w:t xml:space="preserve"> each role can perform only the actions its job requires; privileged actions are audited.</w:t>
      </w:r>
    </w:p>
    <w:p>
      <w:pPr>
        <w:pStyle w:val="ListNumber"/>
        <w:spacing w:after="40"/>
      </w:pPr>
      <w:r>
        <w:rPr>
          <w:rFonts w:ascii="Calibri" w:hAnsi="Calibri"/>
          <w:b/>
        </w:rPr>
        <w:t>Availability under abuse:</w:t>
      </w:r>
      <w:r>
        <w:rPr>
          <w:rFonts w:ascii="Calibri" w:hAnsi="Calibri"/>
          <w:b w:val="0"/>
        </w:rPr>
        <w:t xml:space="preserve"> brute-force and request-flooding attempts are throttled without affecting other users.</w:t>
      </w:r>
    </w:p>
    <w:p>
      <w:pPr>
        <w:pStyle w:val="Heading3"/>
      </w:pPr>
      <w:r>
        <w:rPr>
          <w:rFonts w:ascii="Calibri" w:hAnsi="Calibri"/>
          <w:b/>
          <w:color w:val="1F3B63"/>
        </w:rPr>
        <w:t>5.1.2 Security Requirements</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520"/>
        <w:gridCol w:w="3689"/>
        <w:gridCol w:w="520"/>
        <w:gridCol w:w="520"/>
        <w:gridCol w:w="4212"/>
      </w:tblGrid>
      <w:tr>
        <w:trPr>
          <w:tblHeader w:val="true"/>
        </w:trPr>
        <w:tc>
          <w:tcPr>
            <w:shd w:val="clear" w:color="auto" w:fill="1F3B63"/>
            <w:tcW w:w="520" w:type="dxa"/>
          </w:tcPr>
          <w:p>
            <w:pPr>
              <w:spacing w:after="20" w:before="20"/>
            </w:pPr>
            <w:r>
              <w:rPr>
                <w:b/>
                <w:color w:val="FFFFFF"/>
                <w:sz w:val="18"/>
              </w:rPr>
              <w:t>Req ID</w:t>
            </w:r>
          </w:p>
        </w:tc>
        <w:tc>
          <w:tcPr>
            <w:shd w:val="clear" w:color="auto" w:fill="1F3B63"/>
            <w:tcW w:w="3689" w:type="dxa"/>
          </w:tcPr>
          <w:p>
            <w:pPr>
              <w:spacing w:after="20" w:before="20"/>
            </w:pPr>
            <w:r>
              <w:rPr>
                <w:b/>
                <w:color w:val="FFFFFF"/>
                <w:sz w:val="18"/>
              </w:rPr>
              <w:t>Requirement (shall...)</w:t>
            </w:r>
          </w:p>
        </w:tc>
        <w:tc>
          <w:tcPr>
            <w:shd w:val="clear" w:color="auto" w:fill="1F3B63"/>
            <w:tcW w:w="520" w:type="dxa"/>
          </w:tcPr>
          <w:p>
            <w:pPr>
              <w:spacing w:after="20" w:before="20"/>
            </w:pPr>
            <w:r>
              <w:rPr>
                <w:b/>
                <w:color w:val="FFFFFF"/>
                <w:sz w:val="18"/>
              </w:rPr>
              <w:t>Type</w:t>
            </w:r>
          </w:p>
        </w:tc>
        <w:tc>
          <w:tcPr>
            <w:shd w:val="clear" w:color="auto" w:fill="1F3B63"/>
            <w:tcW w:w="520" w:type="dxa"/>
          </w:tcPr>
          <w:p>
            <w:pPr>
              <w:spacing w:after="20" w:before="20"/>
            </w:pPr>
            <w:r>
              <w:rPr>
                <w:b/>
                <w:color w:val="FFFFFF"/>
                <w:sz w:val="18"/>
              </w:rPr>
              <w:t>Priority</w:t>
            </w:r>
          </w:p>
        </w:tc>
        <w:tc>
          <w:tcPr>
            <w:shd w:val="clear" w:color="auto" w:fill="1F3B63"/>
            <w:tcW w:w="4212" w:type="dxa"/>
          </w:tcPr>
          <w:p>
            <w:pPr>
              <w:spacing w:after="20" w:before="20"/>
            </w:pPr>
            <w:r>
              <w:rPr>
                <w:b/>
                <w:color w:val="FFFFFF"/>
                <w:sz w:val="18"/>
              </w:rPr>
              <w:t>Acceptance criteria / Test case ref</w:t>
            </w:r>
          </w:p>
        </w:tc>
      </w:tr>
      <w:tr>
        <w:tc>
          <w:tcPr>
            <w:tcW w:w="520" w:type="dxa"/>
          </w:tcPr>
          <w:p>
            <w:pPr>
              <w:spacing w:after="20" w:before="20" w:line="240" w:lineRule="auto"/>
            </w:pPr>
            <w:r>
              <w:rPr>
                <w:rFonts w:ascii="Calibri" w:hAnsi="Calibri"/>
                <w:b/>
                <w:sz w:val="18"/>
              </w:rPr>
              <w:t>PRJ-SR-001</w:t>
            </w:r>
          </w:p>
        </w:tc>
        <w:tc>
          <w:tcPr>
            <w:tcW w:w="3689" w:type="dxa"/>
          </w:tcPr>
          <w:p>
            <w:pPr>
              <w:spacing w:after="20" w:before="20" w:line="240" w:lineRule="auto"/>
            </w:pPr>
            <w:r>
              <w:rPr>
                <w:rFonts w:ascii="Calibri" w:hAnsi="Calibri"/>
                <w:b w:val="0"/>
                <w:sz w:val="18"/>
              </w:rPr>
              <w:t>The system shall accept only TLS 1.3 connections when a certificate is configured, send HSTS, and answer plain HTTP only with a redirect to HTTPS.</w:t>
            </w:r>
          </w:p>
        </w:tc>
        <w:tc>
          <w:tcPr>
            <w:tcW w:w="520" w:type="dxa"/>
          </w:tcPr>
          <w:p>
            <w:pPr>
              <w:spacing w:after="20" w:before="20" w:line="240" w:lineRule="auto"/>
            </w:pPr>
            <w:r>
              <w:rPr>
                <w:rFonts w:ascii="Calibri" w:hAnsi="Calibri"/>
                <w:b w:val="0"/>
                <w:sz w:val="18"/>
              </w:rPr>
              <w:t>Security</w:t>
            </w:r>
          </w:p>
        </w:tc>
        <w:tc>
          <w:tcPr>
            <w:tcW w:w="520" w:type="dxa"/>
          </w:tcPr>
          <w:p>
            <w:pPr>
              <w:spacing w:after="20" w:before="20" w:line="240" w:lineRule="auto"/>
            </w:pPr>
            <w:r>
              <w:rPr>
                <w:rFonts w:ascii="Calibri" w:hAnsi="Calibri"/>
                <w:b w:val="0"/>
                <w:sz w:val="18"/>
              </w:rPr>
              <w:t>High</w:t>
            </w:r>
          </w:p>
        </w:tc>
        <w:tc>
          <w:tcPr>
            <w:tcW w:w="4212" w:type="dxa"/>
          </w:tcPr>
          <w:p>
            <w:pPr>
              <w:spacing w:after="20" w:before="20" w:line="240" w:lineRule="auto"/>
            </w:pPr>
            <w:r>
              <w:rPr>
                <w:rFonts w:ascii="Calibri" w:hAnsi="Calibri"/>
                <w:b w:val="0"/>
                <w:sz w:val="18"/>
              </w:rPr>
              <w:t xml:space="preserve">AC-PRJ-SR-001: A TLS 1.3 client succeeds and receives </w:t>
            </w:r>
            <w:r>
              <w:rPr>
                <w:rFonts w:ascii="Consolas" w:hAnsi="Consolas" w:eastAsia="Consolas"/>
                <w:b w:val="0"/>
                <w:sz w:val="17"/>
              </w:rPr>
              <w:t>Strict-Transport-Security</w:t>
            </w:r>
            <w:r>
              <w:rPr>
                <w:rFonts w:ascii="Calibri" w:hAnsi="Calibri"/>
                <w:b w:val="0"/>
                <w:sz w:val="18"/>
              </w:rPr>
              <w:t>; a client limited to TLS 1.2 is refused; HTTP requests receive 301 to the HTTPS URL. Test: TC-SEC-01</w:t>
            </w:r>
          </w:p>
        </w:tc>
      </w:tr>
      <w:tr>
        <w:tc>
          <w:tcPr>
            <w:shd w:val="clear" w:color="auto" w:fill="F7F9FC"/>
            <w:tcW w:w="520" w:type="dxa"/>
          </w:tcPr>
          <w:p>
            <w:pPr>
              <w:spacing w:after="20" w:before="20" w:line="240" w:lineRule="auto"/>
            </w:pPr>
            <w:r>
              <w:rPr>
                <w:rFonts w:ascii="Calibri" w:hAnsi="Calibri"/>
                <w:b/>
                <w:sz w:val="18"/>
              </w:rPr>
              <w:t>PRJ-SR-002</w:t>
            </w:r>
          </w:p>
        </w:tc>
        <w:tc>
          <w:tcPr>
            <w:shd w:val="clear" w:color="auto" w:fill="F7F9FC"/>
            <w:tcW w:w="3689" w:type="dxa"/>
          </w:tcPr>
          <w:p>
            <w:pPr>
              <w:spacing w:after="20" w:before="20" w:line="240" w:lineRule="auto"/>
            </w:pPr>
            <w:r>
              <w:rPr>
                <w:rFonts w:ascii="Calibri" w:hAnsi="Calibri"/>
                <w:b w:val="0"/>
                <w:sz w:val="18"/>
              </w:rPr>
              <w:t>The system shall authenticate API calls with HS256-signed JWTs that expire after 15 minutes, validate signature, algorithm, expiry, issuer and audience, read the caller's role from the user store, and enforce a role permission on every endpoint.</w:t>
            </w:r>
          </w:p>
        </w:tc>
        <w:tc>
          <w:tcPr>
            <w:shd w:val="clear" w:color="auto" w:fill="F7F9FC"/>
            <w:tcW w:w="520" w:type="dxa"/>
          </w:tcPr>
          <w:p>
            <w:pPr>
              <w:spacing w:after="20" w:before="20" w:line="240" w:lineRule="auto"/>
            </w:pPr>
            <w:r>
              <w:rPr>
                <w:rFonts w:ascii="Calibri" w:hAnsi="Calibri"/>
                <w:b w:val="0"/>
                <w:sz w:val="18"/>
              </w:rPr>
              <w:t>Security</w:t>
            </w:r>
          </w:p>
        </w:tc>
        <w:tc>
          <w:tcPr>
            <w:shd w:val="clear" w:color="auto" w:fill="F7F9FC"/>
            <w:tcW w:w="520" w:type="dxa"/>
          </w:tcPr>
          <w:p>
            <w:pPr>
              <w:spacing w:after="20" w:before="20" w:line="240" w:lineRule="auto"/>
            </w:pPr>
            <w:r>
              <w:rPr>
                <w:rFonts w:ascii="Calibri" w:hAnsi="Calibri"/>
                <w:b w:val="0"/>
                <w:sz w:val="18"/>
              </w:rPr>
              <w:t>High</w:t>
            </w:r>
          </w:p>
        </w:tc>
        <w:tc>
          <w:tcPr>
            <w:shd w:val="clear" w:color="auto" w:fill="F7F9FC"/>
            <w:tcW w:w="4212" w:type="dxa"/>
          </w:tcPr>
          <w:p>
            <w:pPr>
              <w:spacing w:after="20" w:before="20" w:line="240" w:lineRule="auto"/>
            </w:pPr>
            <w:r>
              <w:rPr>
                <w:rFonts w:ascii="Calibri" w:hAnsi="Calibri"/>
                <w:b w:val="0"/>
                <w:sz w:val="18"/>
              </w:rPr>
              <w:t xml:space="preserve">AC-PRJ-SR-002: Missing, tampered, </w:t>
            </w:r>
            <w:r>
              <w:rPr>
                <w:rFonts w:ascii="Consolas" w:hAnsi="Consolas" w:eastAsia="Consolas"/>
                <w:b w:val="0"/>
                <w:sz w:val="17"/>
              </w:rPr>
              <w:t>alg=none</w:t>
            </w:r>
            <w:r>
              <w:rPr>
                <w:rFonts w:ascii="Calibri" w:hAnsi="Calibri"/>
                <w:b w:val="0"/>
                <w:sz w:val="18"/>
              </w:rPr>
              <w:t xml:space="preserve">, expired or foreign-key tokens return 401; a disabled account's token returns 401 immediately; an employee calling </w:t>
            </w:r>
            <w:r>
              <w:rPr>
                <w:rFonts w:ascii="Consolas" w:hAnsi="Consolas" w:eastAsia="Consolas"/>
                <w:b w:val="0"/>
                <w:sz w:val="17"/>
              </w:rPr>
              <w:t>/api/v1/admin/*</w:t>
            </w:r>
            <w:r>
              <w:rPr>
                <w:rFonts w:ascii="Calibri" w:hAnsi="Calibri"/>
                <w:b w:val="0"/>
                <w:sz w:val="18"/>
              </w:rPr>
              <w:t xml:space="preserve"> or asset endpoints receives 403. Test: TC-SEC-02</w:t>
            </w:r>
          </w:p>
        </w:tc>
      </w:tr>
      <w:tr>
        <w:tc>
          <w:tcPr>
            <w:tcW w:w="520" w:type="dxa"/>
          </w:tcPr>
          <w:p>
            <w:pPr>
              <w:spacing w:after="20" w:before="20" w:line="240" w:lineRule="auto"/>
            </w:pPr>
            <w:r>
              <w:rPr>
                <w:rFonts w:ascii="Calibri" w:hAnsi="Calibri"/>
                <w:b/>
                <w:sz w:val="18"/>
              </w:rPr>
              <w:t>PRJ-SR-003</w:t>
            </w:r>
          </w:p>
        </w:tc>
        <w:tc>
          <w:tcPr>
            <w:tcW w:w="3689" w:type="dxa"/>
          </w:tcPr>
          <w:p>
            <w:pPr>
              <w:spacing w:after="20" w:before="20" w:line="240" w:lineRule="auto"/>
            </w:pPr>
            <w:r>
              <w:rPr>
                <w:rFonts w:ascii="Calibri" w:hAnsi="Calibri"/>
                <w:b w:val="0"/>
                <w:sz w:val="18"/>
              </w:rPr>
              <w:t>The system shall store license product keys encrypted with AES-256-GCM, return only the masked form (last 4 characters), and reveal the raw key only to Super Administrators, auditing each reveal.</w:t>
            </w:r>
          </w:p>
        </w:tc>
        <w:tc>
          <w:tcPr>
            <w:tcW w:w="520" w:type="dxa"/>
          </w:tcPr>
          <w:p>
            <w:pPr>
              <w:spacing w:after="20" w:before="20" w:line="240" w:lineRule="auto"/>
            </w:pPr>
            <w:r>
              <w:rPr>
                <w:rFonts w:ascii="Calibri" w:hAnsi="Calibri"/>
                <w:b w:val="0"/>
                <w:sz w:val="18"/>
              </w:rPr>
              <w:t>Security</w:t>
            </w:r>
          </w:p>
        </w:tc>
        <w:tc>
          <w:tcPr>
            <w:tcW w:w="520" w:type="dxa"/>
          </w:tcPr>
          <w:p>
            <w:pPr>
              <w:spacing w:after="20" w:before="20" w:line="240" w:lineRule="auto"/>
            </w:pPr>
            <w:r>
              <w:rPr>
                <w:rFonts w:ascii="Calibri" w:hAnsi="Calibri"/>
                <w:b w:val="0"/>
                <w:sz w:val="18"/>
              </w:rPr>
              <w:t>High</w:t>
            </w:r>
          </w:p>
        </w:tc>
        <w:tc>
          <w:tcPr>
            <w:tcW w:w="4212" w:type="dxa"/>
          </w:tcPr>
          <w:p>
            <w:pPr>
              <w:spacing w:after="20" w:before="20" w:line="240" w:lineRule="auto"/>
            </w:pPr>
            <w:r>
              <w:rPr>
                <w:rFonts w:ascii="Calibri" w:hAnsi="Calibri"/>
                <w:b w:val="0"/>
                <w:sz w:val="18"/>
              </w:rPr>
              <w:t xml:space="preserve">AC-PRJ-SR-003: Non-admin responses contain only </w:t>
            </w:r>
            <w:r>
              <w:rPr>
                <w:rFonts w:ascii="Consolas" w:hAnsi="Consolas" w:eastAsia="Consolas"/>
                <w:b w:val="0"/>
                <w:sz w:val="17"/>
              </w:rPr>
              <w:t>XXXX-XXXX-XXXX-WXYZ</w:t>
            </w:r>
            <w:r>
              <w:rPr>
                <w:rFonts w:ascii="Calibri" w:hAnsi="Calibri"/>
                <w:b w:val="0"/>
                <w:sz w:val="18"/>
              </w:rPr>
              <w:t xml:space="preserve">; IT Administrators get 403 on the reveal endpoint; a Super Administrator gets the key and a </w:t>
            </w:r>
            <w:r>
              <w:rPr>
                <w:rFonts w:ascii="Consolas" w:hAnsi="Consolas" w:eastAsia="Consolas"/>
                <w:b w:val="0"/>
                <w:sz w:val="17"/>
              </w:rPr>
              <w:t>LICENSE_KEY_REVEALED</w:t>
            </w:r>
            <w:r>
              <w:rPr>
                <w:rFonts w:ascii="Calibri" w:hAnsi="Calibri"/>
                <w:b w:val="0"/>
                <w:sz w:val="18"/>
              </w:rPr>
              <w:t xml:space="preserve"> audit entry is written; the stored data contains no plaintext key; modified ciphertext fails to decrypt. Test: TC-SEC-03</w:t>
            </w:r>
          </w:p>
        </w:tc>
      </w:tr>
      <w:tr>
        <w:tc>
          <w:tcPr>
            <w:shd w:val="clear" w:color="auto" w:fill="F7F9FC"/>
            <w:tcW w:w="520" w:type="dxa"/>
          </w:tcPr>
          <w:p>
            <w:pPr>
              <w:spacing w:after="20" w:before="20" w:line="240" w:lineRule="auto"/>
            </w:pPr>
            <w:r>
              <w:rPr>
                <w:rFonts w:ascii="Calibri" w:hAnsi="Calibri"/>
                <w:b/>
                <w:sz w:val="18"/>
              </w:rPr>
              <w:t>PRJ-SR-004</w:t>
            </w:r>
          </w:p>
        </w:tc>
        <w:tc>
          <w:tcPr>
            <w:shd w:val="clear" w:color="auto" w:fill="F7F9FC"/>
            <w:tcW w:w="3689" w:type="dxa"/>
          </w:tcPr>
          <w:p>
            <w:pPr>
              <w:spacing w:after="20" w:before="20" w:line="240" w:lineRule="auto"/>
            </w:pPr>
            <w:r>
              <w:rPr>
                <w:rFonts w:ascii="Calibri" w:hAnsi="Calibri"/>
                <w:b w:val="0"/>
                <w:sz w:val="18"/>
              </w:rPr>
              <w:t>The system shall validate every request body against a strict schema (unknown fields rejected), accept only JSON up to 100 KB, send hardening headers including a Content-Security-Policy, block path traversal, and render data in the dashboard without HTML injection.</w:t>
            </w:r>
          </w:p>
        </w:tc>
        <w:tc>
          <w:tcPr>
            <w:shd w:val="clear" w:color="auto" w:fill="F7F9FC"/>
            <w:tcW w:w="520" w:type="dxa"/>
          </w:tcPr>
          <w:p>
            <w:pPr>
              <w:spacing w:after="20" w:before="20" w:line="240" w:lineRule="auto"/>
            </w:pPr>
            <w:r>
              <w:rPr>
                <w:rFonts w:ascii="Calibri" w:hAnsi="Calibri"/>
                <w:b w:val="0"/>
                <w:sz w:val="18"/>
              </w:rPr>
              <w:t>Security</w:t>
            </w:r>
          </w:p>
        </w:tc>
        <w:tc>
          <w:tcPr>
            <w:shd w:val="clear" w:color="auto" w:fill="F7F9FC"/>
            <w:tcW w:w="520" w:type="dxa"/>
          </w:tcPr>
          <w:p>
            <w:pPr>
              <w:spacing w:after="20" w:before="20" w:line="240" w:lineRule="auto"/>
            </w:pPr>
            <w:r>
              <w:rPr>
                <w:rFonts w:ascii="Calibri" w:hAnsi="Calibri"/>
                <w:b w:val="0"/>
                <w:sz w:val="18"/>
              </w:rPr>
              <w:t>High</w:t>
            </w:r>
          </w:p>
        </w:tc>
        <w:tc>
          <w:tcPr>
            <w:shd w:val="clear" w:color="auto" w:fill="F7F9FC"/>
            <w:tcW w:w="4212" w:type="dxa"/>
          </w:tcPr>
          <w:p>
            <w:pPr>
              <w:spacing w:after="20" w:before="20" w:line="240" w:lineRule="auto"/>
            </w:pPr>
            <w:r>
              <w:rPr>
                <w:rFonts w:ascii="Calibri" w:hAnsi="Calibri"/>
                <w:b w:val="0"/>
                <w:sz w:val="18"/>
              </w:rPr>
              <w:t xml:space="preserve">AC-PRJ-SR-004: Unknown fields and </w:t>
            </w:r>
            <w:r>
              <w:rPr>
                <w:rFonts w:ascii="Consolas" w:hAnsi="Consolas" w:eastAsia="Consolas"/>
                <w:b w:val="0"/>
                <w:sz w:val="17"/>
              </w:rPr>
              <w:t>__proto__</w:t>
            </w:r>
            <w:r>
              <w:rPr>
                <w:rFonts w:ascii="Calibri" w:hAnsi="Calibri"/>
                <w:b w:val="0"/>
                <w:sz w:val="18"/>
              </w:rPr>
              <w:t xml:space="preserve"> return 400; markup in asset tags returns 400; non-JSON returns 415, malformed JSON 400, oversized bodies 413; responses carry CSP, </w:t>
            </w:r>
            <w:r>
              <w:rPr>
                <w:rFonts w:ascii="Consolas" w:hAnsi="Consolas" w:eastAsia="Consolas"/>
                <w:b w:val="0"/>
                <w:sz w:val="17"/>
              </w:rPr>
              <w:t>nosniff</w:t>
            </w:r>
            <w:r>
              <w:rPr>
                <w:rFonts w:ascii="Calibri" w:hAnsi="Calibri"/>
                <w:b w:val="0"/>
                <w:sz w:val="18"/>
              </w:rPr>
              <w:t xml:space="preserve"> and </w:t>
            </w:r>
            <w:r>
              <w:rPr>
                <w:rFonts w:ascii="Consolas" w:hAnsi="Consolas" w:eastAsia="Consolas"/>
                <w:b w:val="0"/>
                <w:sz w:val="17"/>
              </w:rPr>
              <w:t>X-Frame-Options: DENY</w:t>
            </w:r>
            <w:r>
              <w:rPr>
                <w:rFonts w:ascii="Calibri" w:hAnsi="Calibri"/>
                <w:b w:val="0"/>
                <w:sz w:val="18"/>
              </w:rPr>
              <w:t>; traversal paths return 404; injection strings are matched literally. Test: TC-SEC-04</w:t>
            </w:r>
          </w:p>
        </w:tc>
      </w:tr>
      <w:tr>
        <w:tc>
          <w:tcPr>
            <w:tcW w:w="520" w:type="dxa"/>
          </w:tcPr>
          <w:p>
            <w:pPr>
              <w:spacing w:after="20" w:before="20" w:line="240" w:lineRule="auto"/>
            </w:pPr>
            <w:r>
              <w:rPr>
                <w:rFonts w:ascii="Calibri" w:hAnsi="Calibri"/>
                <w:b/>
                <w:sz w:val="18"/>
              </w:rPr>
              <w:t>PRJ-SR-005</w:t>
            </w:r>
          </w:p>
        </w:tc>
        <w:tc>
          <w:tcPr>
            <w:tcW w:w="3689" w:type="dxa"/>
          </w:tcPr>
          <w:p>
            <w:pPr>
              <w:spacing w:after="20" w:before="20" w:line="240" w:lineRule="auto"/>
            </w:pPr>
            <w:r>
              <w:rPr>
                <w:rFonts w:ascii="Calibri" w:hAnsi="Calibri"/>
                <w:b w:val="0"/>
                <w:sz w:val="18"/>
              </w:rPr>
              <w:t xml:space="preserve">The system shall lock an account for 15 minutes after 5 failed logins within one minute (and an IP after 20), answering 429 with </w:t>
            </w:r>
            <w:r>
              <w:rPr>
                <w:rFonts w:ascii="Consolas" w:hAnsi="Consolas" w:eastAsia="Consolas"/>
                <w:b w:val="0"/>
                <w:sz w:val="17"/>
              </w:rPr>
              <w:t>Retry-After</w:t>
            </w:r>
            <w:r>
              <w:rPr>
                <w:rFonts w:ascii="Calibri" w:hAnsi="Calibri"/>
                <w:b w:val="0"/>
                <w:sz w:val="18"/>
              </w:rPr>
              <w:t>, audit lockouts, and apply a per-client API request limit.</w:t>
            </w:r>
          </w:p>
        </w:tc>
        <w:tc>
          <w:tcPr>
            <w:tcW w:w="520" w:type="dxa"/>
          </w:tcPr>
          <w:p>
            <w:pPr>
              <w:spacing w:after="20" w:before="20" w:line="240" w:lineRule="auto"/>
            </w:pPr>
            <w:r>
              <w:rPr>
                <w:rFonts w:ascii="Calibri" w:hAnsi="Calibri"/>
                <w:b w:val="0"/>
                <w:sz w:val="18"/>
              </w:rPr>
              <w:t>Security</w:t>
            </w:r>
          </w:p>
        </w:tc>
        <w:tc>
          <w:tcPr>
            <w:tcW w:w="520" w:type="dxa"/>
          </w:tcPr>
          <w:p>
            <w:pPr>
              <w:spacing w:after="20" w:before="20" w:line="240" w:lineRule="auto"/>
            </w:pPr>
            <w:r>
              <w:rPr>
                <w:rFonts w:ascii="Calibri" w:hAnsi="Calibri"/>
                <w:b w:val="0"/>
                <w:sz w:val="18"/>
              </w:rPr>
              <w:t>High</w:t>
            </w:r>
          </w:p>
        </w:tc>
        <w:tc>
          <w:tcPr>
            <w:tcW w:w="4212" w:type="dxa"/>
          </w:tcPr>
          <w:p>
            <w:pPr>
              <w:spacing w:after="20" w:before="20" w:line="240" w:lineRule="auto"/>
            </w:pPr>
            <w:r>
              <w:rPr>
                <w:rFonts w:ascii="Calibri" w:hAnsi="Calibri"/>
                <w:b w:val="0"/>
                <w:sz w:val="18"/>
              </w:rPr>
              <w:t>AC-PRJ-SR-005: The 6th attempt returns 429 even with the correct password; other accounts are unaffected; the lockout is audited and ends after 15 minutes; exceeding the API limit returns 429. Test: TC-SEC-05</w:t>
            </w:r>
          </w:p>
        </w:tc>
      </w:tr>
    </w:tbl>
    <w:p>
      <w:pPr>
        <w:spacing w:after="80"/>
      </w:pPr>
    </w:p>
    <w:p>
      <w:pPr>
        <w:pStyle w:val="Heading1"/>
        <w:pBdr>
          <w:bottom w:val="single" w:sz="6" w:space="4" w:color="C9D2DD"/>
        </w:pBdr>
      </w:pPr>
      <w:r>
        <w:rPr>
          <w:rFonts w:ascii="Calibri" w:hAnsi="Calibri"/>
          <w:b/>
          <w:color w:val="1F3B63"/>
        </w:rPr>
        <w:t>6. Quality attributes &amp; Acceptance tests</w:t>
      </w:r>
    </w:p>
    <w:p>
      <w:pPr>
        <w:pStyle w:val="ListBullet"/>
        <w:spacing w:after="40"/>
      </w:pPr>
      <w:r>
        <w:rPr>
          <w:rFonts w:ascii="Calibri" w:hAnsi="Calibri"/>
          <w:b/>
        </w:rPr>
        <w:t>Exit criteria for acceptance:</w:t>
      </w:r>
      <w:r>
        <w:rPr>
          <w:rFonts w:ascii="Calibri" w:hAnsi="Calibri"/>
          <w:b w:val="0"/>
        </w:rPr>
        <w:t xml:space="preserve"> all high-priority functional requirements implemented and verified by passing automated tests; no failing NFR or security test; the RTM shows every requirement mapped to a passing test case; the CI pipeline is green on the main branch.</w:t>
      </w:r>
    </w:p>
    <w:p>
      <w:pPr>
        <w:pStyle w:val="ListBullet"/>
        <w:spacing w:after="40"/>
      </w:pPr>
      <w:r>
        <w:rPr>
          <w:rFonts w:ascii="Calibri" w:hAnsi="Calibri"/>
          <w:b/>
        </w:rPr>
        <w:t>Acceptance test suites</w:t>
      </w:r>
      <w:r>
        <w:rPr>
          <w:rFonts w:ascii="Calibri" w:hAnsi="Calibri"/>
          <w:b w:val="0"/>
        </w:rPr>
        <w:t xml:space="preserve"> (files in </w:t>
      </w:r>
      <w:r>
        <w:rPr>
          <w:rFonts w:ascii="Consolas" w:hAnsi="Consolas" w:eastAsia="Consolas"/>
          <w:b w:val="0"/>
          <w:sz w:val="19"/>
        </w:rPr>
        <w:t>tests/</w:t>
      </w:r>
      <w:r>
        <w:rPr>
          <w:rFonts w:ascii="Calibri" w:hAnsi="Calibri"/>
          <w:b w:val="0"/>
        </w:rPr>
        <w:t>):</w:t>
      </w:r>
    </w:p>
    <w:p>
      <w:pPr>
        <w:pStyle w:val="ListBullet2"/>
        <w:spacing w:after="40"/>
      </w:pPr>
      <w:r>
        <w:rPr>
          <w:rFonts w:ascii="Calibri" w:hAnsi="Calibri"/>
          <w:b w:val="0"/>
        </w:rPr>
        <w:t>Hardware (</w:t>
      </w:r>
      <w:r>
        <w:rPr>
          <w:rFonts w:ascii="Consolas" w:hAnsi="Consolas" w:eastAsia="Consolas"/>
          <w:b w:val="0"/>
          <w:sz w:val="19"/>
        </w:rPr>
        <w:t>hardware.test.js</w:t>
      </w:r>
      <w:r>
        <w:rPr>
          <w:rFonts w:ascii="Calibri" w:hAnsi="Calibri"/>
          <w:b w:val="0"/>
        </w:rPr>
        <w:t>), Licenses (</w:t>
      </w:r>
      <w:r>
        <w:rPr>
          <w:rFonts w:ascii="Consolas" w:hAnsi="Consolas" w:eastAsia="Consolas"/>
          <w:b w:val="0"/>
          <w:sz w:val="19"/>
        </w:rPr>
        <w:t>licenses.test.js</w:t>
      </w:r>
      <w:r>
        <w:rPr>
          <w:rFonts w:ascii="Calibri" w:hAnsi="Calibri"/>
          <w:b w:val="0"/>
        </w:rPr>
        <w:t>), Compliance (</w:t>
      </w:r>
      <w:r>
        <w:rPr>
          <w:rFonts w:ascii="Consolas" w:hAnsi="Consolas" w:eastAsia="Consolas"/>
          <w:b w:val="0"/>
          <w:sz w:val="19"/>
        </w:rPr>
        <w:t>compliance.test.js</w:t>
      </w:r>
      <w:r>
        <w:rPr>
          <w:rFonts w:ascii="Calibri" w:hAnsi="Calibri"/>
          <w:b w:val="0"/>
        </w:rPr>
        <w:t>), Procurement (</w:t>
      </w:r>
      <w:r>
        <w:rPr>
          <w:rFonts w:ascii="Consolas" w:hAnsi="Consolas" w:eastAsia="Consolas"/>
          <w:b w:val="0"/>
          <w:sz w:val="19"/>
        </w:rPr>
        <w:t>procurement.test.js</w:t>
      </w:r>
      <w:r>
        <w:rPr>
          <w:rFonts w:ascii="Calibri" w:hAnsi="Calibri"/>
          <w:b w:val="0"/>
        </w:rPr>
        <w:t>), Alerts and Reports (</w:t>
      </w:r>
      <w:r>
        <w:rPr>
          <w:rFonts w:ascii="Consolas" w:hAnsi="Consolas" w:eastAsia="Consolas"/>
          <w:b w:val="0"/>
          <w:sz w:val="19"/>
        </w:rPr>
        <w:t>alerts-reports.test.js</w:t>
      </w:r>
      <w:r>
        <w:rPr>
          <w:rFonts w:ascii="Calibri" w:hAnsi="Calibri"/>
          <w:b w:val="0"/>
        </w:rPr>
        <w:t>), Maintenance (</w:t>
      </w:r>
      <w:r>
        <w:rPr>
          <w:rFonts w:ascii="Consolas" w:hAnsi="Consolas" w:eastAsia="Consolas"/>
          <w:b w:val="0"/>
          <w:sz w:val="19"/>
        </w:rPr>
        <w:t>maintenance.test.js</w:t>
      </w:r>
      <w:r>
        <w:rPr>
          <w:rFonts w:ascii="Calibri" w:hAnsi="Calibri"/>
          <w:b w:val="0"/>
        </w:rPr>
        <w:t>).</w:t>
      </w:r>
    </w:p>
    <w:p>
      <w:pPr>
        <w:pStyle w:val="ListBullet2"/>
        <w:spacing w:after="40"/>
      </w:pPr>
      <w:r>
        <w:rPr>
          <w:rFonts w:ascii="Calibri" w:hAnsi="Calibri"/>
          <w:b w:val="0"/>
        </w:rPr>
        <w:t>Security (</w:t>
      </w:r>
      <w:r>
        <w:rPr>
          <w:rFonts w:ascii="Consolas" w:hAnsi="Consolas" w:eastAsia="Consolas"/>
          <w:b w:val="0"/>
          <w:sz w:val="19"/>
        </w:rPr>
        <w:t>security.test.js</w:t>
      </w:r>
      <w:r>
        <w:rPr>
          <w:rFonts w:ascii="Calibri" w:hAnsi="Calibri"/>
          <w:b w:val="0"/>
        </w:rPr>
        <w:t>).</w:t>
      </w:r>
    </w:p>
    <w:p>
      <w:pPr>
        <w:pStyle w:val="ListBullet2"/>
        <w:spacing w:after="40"/>
      </w:pPr>
      <w:r>
        <w:rPr>
          <w:rFonts w:ascii="Calibri" w:hAnsi="Calibri"/>
          <w:b w:val="0"/>
        </w:rPr>
        <w:t>Performance, Reliability and Disaster Recovery, Scalability, Audit, Accessibility (</w:t>
      </w:r>
      <w:r>
        <w:rPr>
          <w:rFonts w:ascii="Consolas" w:hAnsi="Consolas" w:eastAsia="Consolas"/>
          <w:b w:val="0"/>
          <w:sz w:val="19"/>
        </w:rPr>
        <w:t>performance.test.js</w:t>
      </w:r>
      <w:r>
        <w:rPr>
          <w:rFonts w:ascii="Calibri" w:hAnsi="Calibri"/>
          <w:b w:val="0"/>
        </w:rPr>
        <w:t xml:space="preserve">, </w:t>
      </w:r>
      <w:r>
        <w:rPr>
          <w:rFonts w:ascii="Consolas" w:hAnsi="Consolas" w:eastAsia="Consolas"/>
          <w:b w:val="0"/>
          <w:sz w:val="19"/>
        </w:rPr>
        <w:t>reliability.test.js</w:t>
      </w:r>
      <w:r>
        <w:rPr>
          <w:rFonts w:ascii="Calibri" w:hAnsi="Calibri"/>
          <w:b w:val="0"/>
        </w:rPr>
        <w:t xml:space="preserve">, </w:t>
      </w:r>
      <w:r>
        <w:rPr>
          <w:rFonts w:ascii="Consolas" w:hAnsi="Consolas" w:eastAsia="Consolas"/>
          <w:b w:val="0"/>
          <w:sz w:val="19"/>
        </w:rPr>
        <w:t>scalability.test.js</w:t>
      </w:r>
      <w:r>
        <w:rPr>
          <w:rFonts w:ascii="Calibri" w:hAnsi="Calibri"/>
          <w:b w:val="0"/>
        </w:rPr>
        <w:t xml:space="preserve">, </w:t>
      </w:r>
      <w:r>
        <w:rPr>
          <w:rFonts w:ascii="Consolas" w:hAnsi="Consolas" w:eastAsia="Consolas"/>
          <w:b w:val="0"/>
          <w:sz w:val="19"/>
        </w:rPr>
        <w:t>audit.test.js</w:t>
      </w:r>
      <w:r>
        <w:rPr>
          <w:rFonts w:ascii="Calibri" w:hAnsi="Calibri"/>
          <w:b w:val="0"/>
        </w:rPr>
        <w:t xml:space="preserve">, </w:t>
      </w:r>
      <w:r>
        <w:rPr>
          <w:rFonts w:ascii="Consolas" w:hAnsi="Consolas" w:eastAsia="Consolas"/>
          <w:b w:val="0"/>
          <w:sz w:val="19"/>
        </w:rPr>
        <w:t>accessibility.test.js</w:t>
      </w:r>
      <w:r>
        <w:rPr>
          <w:rFonts w:ascii="Calibri" w:hAnsi="Calibri"/>
          <w:b w:val="0"/>
        </w:rPr>
        <w:t>).</w:t>
      </w:r>
    </w:p>
    <w:p>
      <w:pPr>
        <w:pStyle w:val="Heading1"/>
        <w:pBdr>
          <w:bottom w:val="single" w:sz="6" w:space="4" w:color="C9D2DD"/>
        </w:pBdr>
      </w:pPr>
      <w:r>
        <w:rPr>
          <w:rFonts w:ascii="Calibri" w:hAnsi="Calibri"/>
          <w:b/>
          <w:color w:val="1F3B63"/>
        </w:rPr>
        <w:t>7. System models and diagrams</w:t>
      </w:r>
    </w:p>
    <w:p>
      <w:pPr>
        <w:jc w:val="both"/>
      </w:pPr>
      <w:r>
        <w:rPr>
          <w:rFonts w:ascii="Calibri" w:hAnsi="Calibri"/>
          <w:b w:val="0"/>
        </w:rPr>
        <w:t>Mermaid has no native use-case diagram type, so the diagrams use flowchart notation with UML conventions: actors as circles outside the system boundary, use cases as rounded nodes inside it, solid lines for associations and dashed arrows for «include» relationships.</w:t>
      </w:r>
    </w:p>
    <w:p>
      <w:pPr>
        <w:pStyle w:val="Heading2"/>
      </w:pPr>
      <w:r>
        <w:rPr>
          <w:rFonts w:ascii="Calibri" w:hAnsi="Calibri"/>
          <w:b/>
          <w:color w:val="1F3B63"/>
        </w:rPr>
        <w:t>7.1 Use-Case Diagram 1: Asset lifecycle and procurement</w:t>
      </w:r>
    </w:p>
    <w:p>
      <w:pPr>
        <w:spacing w:before="120" w:after="40"/>
        <w:jc w:val="center"/>
        <w:keepNext/>
      </w:pPr>
      <w:r>
        <w:drawing>
          <wp:inline xmlns:a="http://schemas.openxmlformats.org/drawingml/2006/main" xmlns:pic="http://schemas.openxmlformats.org/drawingml/2006/picture">
            <wp:extent cx="5769966" cy="7132319"/>
            <wp:docPr id="2" name="Picture 2"/>
            <wp:cNvGraphicFramePr>
              <a:graphicFrameLocks noChangeAspect="1"/>
            </wp:cNvGraphicFramePr>
            <a:graphic>
              <a:graphicData uri="http://schemas.openxmlformats.org/drawingml/2006/picture">
                <pic:pic>
                  <pic:nvPicPr>
                    <pic:cNvPr id="0" name="SRS-2.png"/>
                    <pic:cNvPicPr/>
                  </pic:nvPicPr>
                  <pic:blipFill>
                    <a:blip r:embed="rId13"/>
                    <a:stretch>
                      <a:fillRect/>
                    </a:stretch>
                  </pic:blipFill>
                  <pic:spPr>
                    <a:xfrm>
                      <a:off x="0" y="0"/>
                      <a:ext cx="5769966" cy="7132319"/>
                    </a:xfrm>
                    <a:prstGeom prst="rect"/>
                  </pic:spPr>
                </pic:pic>
              </a:graphicData>
            </a:graphic>
          </wp:inline>
        </w:drawing>
      </w:r>
    </w:p>
    <w:p>
      <w:pPr>
        <w:spacing w:after="200"/>
        <w:jc w:val="center"/>
      </w:pPr>
      <w:r>
        <w:rPr>
          <w:i/>
          <w:color w:val="505A68"/>
          <w:sz w:val="18"/>
        </w:rPr>
        <w:t>Figure 2: 7.1 Use-Case Diagram 1: Asset lifecycle and procurement</w:t>
      </w:r>
    </w:p>
    <w:p>
      <w:pPr>
        <w:pStyle w:val="Heading2"/>
      </w:pPr>
      <w:r>
        <w:rPr>
          <w:rFonts w:ascii="Calibri" w:hAnsi="Calibri"/>
          <w:b/>
          <w:color w:val="1F3B63"/>
        </w:rPr>
        <w:t>7.2 Use-Case Diagram 2: License compliance and auditing</w:t>
      </w:r>
    </w:p>
    <w:p>
      <w:pPr>
        <w:spacing w:before="120" w:after="40"/>
        <w:jc w:val="center"/>
        <w:keepNext/>
      </w:pPr>
      <w:r>
        <w:drawing>
          <wp:inline xmlns:a="http://schemas.openxmlformats.org/drawingml/2006/main" xmlns:pic="http://schemas.openxmlformats.org/drawingml/2006/picture">
            <wp:extent cx="6007735" cy="5220054"/>
            <wp:docPr id="3" name="Picture 3"/>
            <wp:cNvGraphicFramePr>
              <a:graphicFrameLocks noChangeAspect="1"/>
            </wp:cNvGraphicFramePr>
            <a:graphic>
              <a:graphicData uri="http://schemas.openxmlformats.org/drawingml/2006/picture">
                <pic:pic>
                  <pic:nvPicPr>
                    <pic:cNvPr id="0" name="SRS-3.png"/>
                    <pic:cNvPicPr/>
                  </pic:nvPicPr>
                  <pic:blipFill>
                    <a:blip r:embed="rId14"/>
                    <a:stretch>
                      <a:fillRect/>
                    </a:stretch>
                  </pic:blipFill>
                  <pic:spPr>
                    <a:xfrm>
                      <a:off x="0" y="0"/>
                      <a:ext cx="6007735" cy="5220054"/>
                    </a:xfrm>
                    <a:prstGeom prst="rect"/>
                  </pic:spPr>
                </pic:pic>
              </a:graphicData>
            </a:graphic>
          </wp:inline>
        </w:drawing>
      </w:r>
    </w:p>
    <w:p>
      <w:pPr>
        <w:spacing w:after="200"/>
        <w:jc w:val="center"/>
      </w:pPr>
      <w:r>
        <w:rPr>
          <w:i/>
          <w:color w:val="505A68"/>
          <w:sz w:val="18"/>
        </w:rPr>
        <w:t>Figure 3: 7.2 Use-Case Diagram 2: License compliance and auditing</w:t>
      </w:r>
    </w:p>
    <w:p>
      <w:pPr>
        <w:pStyle w:val="Heading1"/>
        <w:pBdr>
          <w:bottom w:val="single" w:sz="6" w:space="4" w:color="C9D2DD"/>
        </w:pBdr>
      </w:pPr>
      <w:r>
        <w:rPr>
          <w:rFonts w:ascii="Calibri" w:hAnsi="Calibri"/>
          <w:b/>
          <w:color w:val="1F3B63"/>
        </w:rPr>
        <w:t>8. Requirements Traceability Matrix (RTM)</w:t>
      </w:r>
    </w:p>
    <w:p>
      <w:pPr>
        <w:jc w:val="both"/>
      </w:pPr>
      <w:r>
        <w:rPr>
          <w:rFonts w:ascii="Calibri" w:hAnsi="Calibri"/>
          <w:b w:val="0"/>
        </w:rPr>
        <w:t xml:space="preserve">Status legend: </w:t>
      </w:r>
      <w:r>
        <w:rPr>
          <w:rFonts w:ascii="Calibri" w:hAnsi="Calibri"/>
          <w:b/>
        </w:rPr>
        <w:t>N</w:t>
      </w:r>
      <w:r>
        <w:rPr>
          <w:rFonts w:ascii="Calibri" w:hAnsi="Calibri"/>
          <w:b w:val="0"/>
        </w:rPr>
        <w:t xml:space="preserve"> = not verified, </w:t>
      </w:r>
      <w:r>
        <w:rPr>
          <w:rFonts w:ascii="Calibri" w:hAnsi="Calibri"/>
          <w:b/>
        </w:rPr>
        <w:t>P</w:t>
      </w:r>
      <w:r>
        <w:rPr>
          <w:rFonts w:ascii="Calibri" w:hAnsi="Calibri"/>
          <w:b w:val="0"/>
        </w:rPr>
        <w:t xml:space="preserve"> = partially verified (automated test passes but part of the criterion needs operational or manual evidence), </w:t>
      </w:r>
      <w:r>
        <w:rPr>
          <w:rFonts w:ascii="Calibri" w:hAnsi="Calibri"/>
          <w:b/>
        </w:rPr>
        <w:t>A</w:t>
      </w:r>
      <w:r>
        <w:rPr>
          <w:rFonts w:ascii="Calibri" w:hAnsi="Calibri"/>
          <w:b w:val="0"/>
        </w:rPr>
        <w:t xml:space="preserve"> = accepted (implemented and verified by a passing automated test). Design spec IDs are defined in SAD section 3.8.</w:t>
      </w:r>
    </w:p>
    <w:tbl>
      <w:tblPr>
        <w:tblStyle w:val="TableGrid"/>
        <w:jc w:val="center"/>
        <w:tblLook w:firstColumn="1" w:firstRow="1" w:lastColumn="0" w:lastRow="0" w:noHBand="0" w:noVBand="1" w:val="04A0"/>
        <w:tblW w:w="9461" w:type="dxa"/>
        <w:tblLayout w:type="fixed"/>
        <w:tblCellMar>
          <w:top w:w="40" w:type="dxa"/>
          <w:left w:w="80" w:type="dxa"/>
          <w:bottom w:w="40" w:type="dxa"/>
          <w:right w:w="80" w:type="dxa"/>
        </w:tblCellMar>
      </w:tblPr>
      <w:tblGrid>
        <w:gridCol w:w="607"/>
        <w:gridCol w:w="2272"/>
        <w:gridCol w:w="1298"/>
        <w:gridCol w:w="1635"/>
        <w:gridCol w:w="702"/>
        <w:gridCol w:w="520"/>
        <w:gridCol w:w="2427"/>
      </w:tblGrid>
      <w:tr>
        <w:trPr>
          <w:tblHeader w:val="true"/>
        </w:trPr>
        <w:tc>
          <w:tcPr>
            <w:shd w:val="clear" w:color="auto" w:fill="1F3B63"/>
            <w:tcW w:w="607" w:type="dxa"/>
          </w:tcPr>
          <w:p>
            <w:pPr>
              <w:spacing w:after="20" w:before="20"/>
            </w:pPr>
            <w:r>
              <w:rPr>
                <w:b/>
                <w:color w:val="FFFFFF"/>
                <w:sz w:val="16"/>
              </w:rPr>
              <w:t>Req ID</w:t>
            </w:r>
          </w:p>
        </w:tc>
        <w:tc>
          <w:tcPr>
            <w:shd w:val="clear" w:color="auto" w:fill="1F3B63"/>
            <w:tcW w:w="2272" w:type="dxa"/>
          </w:tcPr>
          <w:p>
            <w:pPr>
              <w:spacing w:after="20" w:before="20"/>
            </w:pPr>
            <w:r>
              <w:rPr>
                <w:b/>
                <w:color w:val="FFFFFF"/>
                <w:sz w:val="16"/>
              </w:rPr>
              <w:t>Requirement short</w:t>
            </w:r>
          </w:p>
        </w:tc>
        <w:tc>
          <w:tcPr>
            <w:shd w:val="clear" w:color="auto" w:fill="1F3B63"/>
            <w:tcW w:w="1298" w:type="dxa"/>
          </w:tcPr>
          <w:p>
            <w:pPr>
              <w:spacing w:after="20" w:before="20"/>
            </w:pPr>
            <w:r>
              <w:rPr>
                <w:b/>
                <w:color w:val="FFFFFF"/>
                <w:sz w:val="16"/>
              </w:rPr>
              <w:t>Section ref / Design Spec</w:t>
            </w:r>
          </w:p>
        </w:tc>
        <w:tc>
          <w:tcPr>
            <w:shd w:val="clear" w:color="auto" w:fill="1F3B63"/>
            <w:tcW w:w="1635" w:type="dxa"/>
          </w:tcPr>
          <w:p>
            <w:pPr>
              <w:spacing w:after="20" w:before="20"/>
            </w:pPr>
            <w:r>
              <w:rPr>
                <w:b/>
                <w:color w:val="FFFFFF"/>
                <w:sz w:val="16"/>
              </w:rPr>
              <w:t>Module</w:t>
            </w:r>
          </w:p>
        </w:tc>
        <w:tc>
          <w:tcPr>
            <w:shd w:val="clear" w:color="auto" w:fill="1F3B63"/>
            <w:tcW w:w="702" w:type="dxa"/>
          </w:tcPr>
          <w:p>
            <w:pPr>
              <w:spacing w:after="20" w:before="20"/>
            </w:pPr>
            <w:r>
              <w:rPr>
                <w:b/>
                <w:color w:val="FFFFFF"/>
                <w:sz w:val="16"/>
              </w:rPr>
              <w:t>Test case(s)</w:t>
            </w:r>
          </w:p>
        </w:tc>
        <w:tc>
          <w:tcPr>
            <w:shd w:val="clear" w:color="auto" w:fill="1F3B63"/>
            <w:tcW w:w="520" w:type="dxa"/>
          </w:tcPr>
          <w:p>
            <w:pPr>
              <w:spacing w:after="20" w:before="20"/>
            </w:pPr>
            <w:r>
              <w:rPr>
                <w:b/>
                <w:color w:val="FFFFFF"/>
                <w:sz w:val="16"/>
              </w:rPr>
              <w:t>Status (N/P/A)</w:t>
            </w:r>
          </w:p>
        </w:tc>
        <w:tc>
          <w:tcPr>
            <w:shd w:val="clear" w:color="auto" w:fill="1F3B63"/>
            <w:tcW w:w="2427" w:type="dxa"/>
          </w:tcPr>
          <w:p>
            <w:pPr>
              <w:spacing w:after="20" w:before="20"/>
            </w:pPr>
            <w:r>
              <w:rPr>
                <w:b/>
                <w:color w:val="FFFFFF"/>
                <w:sz w:val="16"/>
              </w:rPr>
              <w:t>Comments</w:t>
            </w:r>
          </w:p>
        </w:tc>
      </w:tr>
      <w:tr>
        <w:tc>
          <w:tcPr>
            <w:tcW w:w="607" w:type="dxa"/>
          </w:tcPr>
          <w:p>
            <w:pPr>
              <w:spacing w:after="20" w:before="20" w:line="240" w:lineRule="auto"/>
            </w:pPr>
            <w:r>
              <w:rPr>
                <w:rFonts w:ascii="Calibri" w:hAnsi="Calibri"/>
                <w:b w:val="0"/>
                <w:sz w:val="16"/>
              </w:rPr>
              <w:t>IT-F-001</w:t>
            </w:r>
          </w:p>
        </w:tc>
        <w:tc>
          <w:tcPr>
            <w:tcW w:w="2272" w:type="dxa"/>
          </w:tcPr>
          <w:p>
            <w:pPr>
              <w:spacing w:after="20" w:before="20" w:line="240" w:lineRule="auto"/>
            </w:pPr>
            <w:r>
              <w:rPr>
                <w:rFonts w:ascii="Calibri" w:hAnsi="Calibri"/>
                <w:b w:val="0"/>
                <w:sz w:val="16"/>
              </w:rPr>
              <w:t>Register hardware asset</w:t>
            </w:r>
          </w:p>
        </w:tc>
        <w:tc>
          <w:tcPr>
            <w:tcW w:w="1298" w:type="dxa"/>
          </w:tcPr>
          <w:p>
            <w:pPr>
              <w:spacing w:after="20" w:before="20" w:line="240" w:lineRule="auto"/>
            </w:pPr>
            <w:r>
              <w:rPr>
                <w:rFonts w:ascii="Calibri" w:hAnsi="Calibri"/>
                <w:b w:val="0"/>
                <w:sz w:val="16"/>
              </w:rPr>
              <w:t>4.1 / DS-HAM-01</w:t>
            </w:r>
          </w:p>
        </w:tc>
        <w:tc>
          <w:tcPr>
            <w:tcW w:w="1635" w:type="dxa"/>
          </w:tcPr>
          <w:p>
            <w:pPr>
              <w:spacing w:after="20" w:before="20" w:line="240" w:lineRule="auto"/>
            </w:pPr>
            <w:r>
              <w:rPr>
                <w:rFonts w:ascii="Calibri" w:hAnsi="Calibri"/>
                <w:b w:val="0"/>
                <w:sz w:val="16"/>
              </w:rPr>
              <w:t>Hardware service</w:t>
            </w:r>
          </w:p>
        </w:tc>
        <w:tc>
          <w:tcPr>
            <w:tcW w:w="702" w:type="dxa"/>
          </w:tcPr>
          <w:p>
            <w:pPr>
              <w:spacing w:after="20" w:before="20" w:line="240" w:lineRule="auto"/>
            </w:pPr>
            <w:r>
              <w:rPr>
                <w:rFonts w:ascii="Calibri" w:hAnsi="Calibri"/>
                <w:b w:val="0"/>
                <w:sz w:val="16"/>
              </w:rPr>
              <w:t>TC-HAM-01</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p>
        </w:tc>
      </w:tr>
      <w:tr>
        <w:tc>
          <w:tcPr>
            <w:shd w:val="clear" w:color="auto" w:fill="F7F9FC"/>
            <w:tcW w:w="607" w:type="dxa"/>
          </w:tcPr>
          <w:p>
            <w:pPr>
              <w:spacing w:after="20" w:before="20" w:line="240" w:lineRule="auto"/>
            </w:pPr>
            <w:r>
              <w:rPr>
                <w:rFonts w:ascii="Calibri" w:hAnsi="Calibri"/>
                <w:b w:val="0"/>
                <w:sz w:val="16"/>
              </w:rPr>
              <w:t>IT-F-002</w:t>
            </w:r>
          </w:p>
        </w:tc>
        <w:tc>
          <w:tcPr>
            <w:shd w:val="clear" w:color="auto" w:fill="F7F9FC"/>
            <w:tcW w:w="2272" w:type="dxa"/>
          </w:tcPr>
          <w:p>
            <w:pPr>
              <w:spacing w:after="20" w:before="20" w:line="240" w:lineRule="auto"/>
            </w:pPr>
            <w:r>
              <w:rPr>
                <w:rFonts w:ascii="Calibri" w:hAnsi="Calibri"/>
                <w:b w:val="0"/>
                <w:sz w:val="16"/>
              </w:rPr>
              <w:t>Check-out / check-in</w:t>
            </w:r>
          </w:p>
        </w:tc>
        <w:tc>
          <w:tcPr>
            <w:shd w:val="clear" w:color="auto" w:fill="F7F9FC"/>
            <w:tcW w:w="1298" w:type="dxa"/>
          </w:tcPr>
          <w:p>
            <w:pPr>
              <w:spacing w:after="20" w:before="20" w:line="240" w:lineRule="auto"/>
            </w:pPr>
            <w:r>
              <w:rPr>
                <w:rFonts w:ascii="Calibri" w:hAnsi="Calibri"/>
                <w:b w:val="0"/>
                <w:sz w:val="16"/>
              </w:rPr>
              <w:t>4.1 / DS-HAM-02</w:t>
            </w:r>
          </w:p>
        </w:tc>
        <w:tc>
          <w:tcPr>
            <w:shd w:val="clear" w:color="auto" w:fill="F7F9FC"/>
            <w:tcW w:w="1635" w:type="dxa"/>
          </w:tcPr>
          <w:p>
            <w:pPr>
              <w:spacing w:after="20" w:before="20" w:line="240" w:lineRule="auto"/>
            </w:pPr>
            <w:r>
              <w:rPr>
                <w:rFonts w:ascii="Calibri" w:hAnsi="Calibri"/>
                <w:b w:val="0"/>
                <w:sz w:val="16"/>
              </w:rPr>
              <w:t>Hardware service</w:t>
            </w:r>
          </w:p>
        </w:tc>
        <w:tc>
          <w:tcPr>
            <w:shd w:val="clear" w:color="auto" w:fill="F7F9FC"/>
            <w:tcW w:w="702" w:type="dxa"/>
          </w:tcPr>
          <w:p>
            <w:pPr>
              <w:spacing w:after="20" w:before="20" w:line="240" w:lineRule="auto"/>
            </w:pPr>
            <w:r>
              <w:rPr>
                <w:rFonts w:ascii="Calibri" w:hAnsi="Calibri"/>
                <w:b w:val="0"/>
                <w:sz w:val="16"/>
              </w:rPr>
              <w:t>TC-HAM-02</w:t>
            </w:r>
          </w:p>
        </w:tc>
        <w:tc>
          <w:tcPr>
            <w:shd w:val="clear" w:color="auto" w:fill="F7F9FC"/>
            <w:tcW w:w="520" w:type="dxa"/>
          </w:tcPr>
          <w:p>
            <w:pPr>
              <w:spacing w:after="20" w:before="20" w:line="240" w:lineRule="auto"/>
            </w:pPr>
            <w:r>
              <w:rPr>
                <w:rFonts w:ascii="Calibri" w:hAnsi="Calibri"/>
                <w:b w:val="0"/>
                <w:sz w:val="16"/>
              </w:rPr>
              <w:t>A</w:t>
            </w:r>
          </w:p>
        </w:tc>
        <w:tc>
          <w:tcPr>
            <w:shd w:val="clear" w:color="auto" w:fill="F7F9FC"/>
            <w:tcW w:w="2427" w:type="dxa"/>
          </w:tcPr>
          <w:p>
            <w:pPr>
              <w:spacing w:after="20" w:before="20" w:line="240" w:lineRule="auto"/>
            </w:pPr>
          </w:p>
        </w:tc>
      </w:tr>
      <w:tr>
        <w:tc>
          <w:tcPr>
            <w:tcW w:w="607" w:type="dxa"/>
          </w:tcPr>
          <w:p>
            <w:pPr>
              <w:spacing w:after="20" w:before="20" w:line="240" w:lineRule="auto"/>
            </w:pPr>
            <w:r>
              <w:rPr>
                <w:rFonts w:ascii="Calibri" w:hAnsi="Calibri"/>
                <w:b w:val="0"/>
                <w:sz w:val="16"/>
              </w:rPr>
              <w:t>IT-F-003</w:t>
            </w:r>
          </w:p>
        </w:tc>
        <w:tc>
          <w:tcPr>
            <w:tcW w:w="2272" w:type="dxa"/>
          </w:tcPr>
          <w:p>
            <w:pPr>
              <w:spacing w:after="20" w:before="20" w:line="240" w:lineRule="auto"/>
            </w:pPr>
            <w:r>
              <w:rPr>
                <w:rFonts w:ascii="Calibri" w:hAnsi="Calibri"/>
                <w:b w:val="0"/>
                <w:sz w:val="16"/>
              </w:rPr>
              <w:t>Barcode label and scan lookup</w:t>
            </w:r>
          </w:p>
        </w:tc>
        <w:tc>
          <w:tcPr>
            <w:tcW w:w="1298" w:type="dxa"/>
          </w:tcPr>
          <w:p>
            <w:pPr>
              <w:spacing w:after="20" w:before="20" w:line="240" w:lineRule="auto"/>
            </w:pPr>
            <w:r>
              <w:rPr>
                <w:rFonts w:ascii="Calibri" w:hAnsi="Calibri"/>
                <w:b w:val="0"/>
                <w:sz w:val="16"/>
              </w:rPr>
              <w:t>4.1 / DS-HAM-03</w:t>
            </w:r>
          </w:p>
        </w:tc>
        <w:tc>
          <w:tcPr>
            <w:tcW w:w="1635" w:type="dxa"/>
          </w:tcPr>
          <w:p>
            <w:pPr>
              <w:spacing w:after="20" w:before="20" w:line="240" w:lineRule="auto"/>
            </w:pPr>
            <w:r>
              <w:rPr>
                <w:rFonts w:ascii="Calibri" w:hAnsi="Calibri"/>
                <w:b w:val="0"/>
                <w:sz w:val="16"/>
              </w:rPr>
              <w:t>Barcode encoder, Hardware service</w:t>
            </w:r>
          </w:p>
        </w:tc>
        <w:tc>
          <w:tcPr>
            <w:tcW w:w="702" w:type="dxa"/>
          </w:tcPr>
          <w:p>
            <w:pPr>
              <w:spacing w:after="20" w:before="20" w:line="240" w:lineRule="auto"/>
            </w:pPr>
            <w:r>
              <w:rPr>
                <w:rFonts w:ascii="Calibri" w:hAnsi="Calibri"/>
                <w:b w:val="0"/>
                <w:sz w:val="16"/>
              </w:rPr>
              <w:t>TC-HAM-03</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r>
              <w:rPr>
                <w:rFonts w:ascii="Calibri" w:hAnsi="Calibri"/>
                <w:b w:val="0"/>
                <w:sz w:val="16"/>
              </w:rPr>
              <w:t>Encoder also cross-checked with the ZXing decoder</w:t>
            </w:r>
          </w:p>
        </w:tc>
      </w:tr>
      <w:tr>
        <w:tc>
          <w:tcPr>
            <w:shd w:val="clear" w:color="auto" w:fill="F7F9FC"/>
            <w:tcW w:w="607" w:type="dxa"/>
          </w:tcPr>
          <w:p>
            <w:pPr>
              <w:spacing w:after="20" w:before="20" w:line="240" w:lineRule="auto"/>
            </w:pPr>
            <w:r>
              <w:rPr>
                <w:rFonts w:ascii="Calibri" w:hAnsi="Calibri"/>
                <w:b w:val="0"/>
                <w:sz w:val="16"/>
              </w:rPr>
              <w:t>IT-F-004</w:t>
            </w:r>
          </w:p>
        </w:tc>
        <w:tc>
          <w:tcPr>
            <w:shd w:val="clear" w:color="auto" w:fill="F7F9FC"/>
            <w:tcW w:w="2272" w:type="dxa"/>
          </w:tcPr>
          <w:p>
            <w:pPr>
              <w:spacing w:after="20" w:before="20" w:line="240" w:lineRule="auto"/>
            </w:pPr>
            <w:r>
              <w:rPr>
                <w:rFonts w:ascii="Calibri" w:hAnsi="Calibri"/>
                <w:b w:val="0"/>
                <w:sz w:val="16"/>
              </w:rPr>
              <w:t>Depreciation (SL / WDV)</w:t>
            </w:r>
          </w:p>
        </w:tc>
        <w:tc>
          <w:tcPr>
            <w:shd w:val="clear" w:color="auto" w:fill="F7F9FC"/>
            <w:tcW w:w="1298" w:type="dxa"/>
          </w:tcPr>
          <w:p>
            <w:pPr>
              <w:spacing w:after="20" w:before="20" w:line="240" w:lineRule="auto"/>
            </w:pPr>
            <w:r>
              <w:rPr>
                <w:rFonts w:ascii="Calibri" w:hAnsi="Calibri"/>
                <w:b w:val="0"/>
                <w:sz w:val="16"/>
              </w:rPr>
              <w:t>4.1 / DS-HAM-04</w:t>
            </w:r>
          </w:p>
        </w:tc>
        <w:tc>
          <w:tcPr>
            <w:shd w:val="clear" w:color="auto" w:fill="F7F9FC"/>
            <w:tcW w:w="1635" w:type="dxa"/>
          </w:tcPr>
          <w:p>
            <w:pPr>
              <w:spacing w:after="20" w:before="20" w:line="240" w:lineRule="auto"/>
            </w:pPr>
            <w:r>
              <w:rPr>
                <w:rFonts w:ascii="Calibri" w:hAnsi="Calibri"/>
                <w:b w:val="0"/>
                <w:sz w:val="16"/>
              </w:rPr>
              <w:t>Hardware service</w:t>
            </w:r>
          </w:p>
        </w:tc>
        <w:tc>
          <w:tcPr>
            <w:shd w:val="clear" w:color="auto" w:fill="F7F9FC"/>
            <w:tcW w:w="702" w:type="dxa"/>
          </w:tcPr>
          <w:p>
            <w:pPr>
              <w:spacing w:after="20" w:before="20" w:line="240" w:lineRule="auto"/>
            </w:pPr>
            <w:r>
              <w:rPr>
                <w:rFonts w:ascii="Calibri" w:hAnsi="Calibri"/>
                <w:b w:val="0"/>
                <w:sz w:val="16"/>
              </w:rPr>
              <w:t>TC-HAM-04</w:t>
            </w:r>
          </w:p>
        </w:tc>
        <w:tc>
          <w:tcPr>
            <w:shd w:val="clear" w:color="auto" w:fill="F7F9FC"/>
            <w:tcW w:w="520" w:type="dxa"/>
          </w:tcPr>
          <w:p>
            <w:pPr>
              <w:spacing w:after="20" w:before="20" w:line="240" w:lineRule="auto"/>
            </w:pPr>
            <w:r>
              <w:rPr>
                <w:rFonts w:ascii="Calibri" w:hAnsi="Calibri"/>
                <w:b w:val="0"/>
                <w:sz w:val="16"/>
              </w:rPr>
              <w:t>A</w:t>
            </w:r>
          </w:p>
        </w:tc>
        <w:tc>
          <w:tcPr>
            <w:shd w:val="clear" w:color="auto" w:fill="F7F9FC"/>
            <w:tcW w:w="2427" w:type="dxa"/>
          </w:tcPr>
          <w:p>
            <w:pPr>
              <w:spacing w:after="20" w:before="20" w:line="240" w:lineRule="auto"/>
            </w:pPr>
          </w:p>
        </w:tc>
      </w:tr>
      <w:tr>
        <w:tc>
          <w:tcPr>
            <w:tcW w:w="607" w:type="dxa"/>
          </w:tcPr>
          <w:p>
            <w:pPr>
              <w:spacing w:after="20" w:before="20" w:line="240" w:lineRule="auto"/>
            </w:pPr>
            <w:r>
              <w:rPr>
                <w:rFonts w:ascii="Calibri" w:hAnsi="Calibri"/>
                <w:b w:val="0"/>
                <w:sz w:val="16"/>
              </w:rPr>
              <w:t>IT-F-005</w:t>
            </w:r>
          </w:p>
        </w:tc>
        <w:tc>
          <w:tcPr>
            <w:tcW w:w="2272" w:type="dxa"/>
          </w:tcPr>
          <w:p>
            <w:pPr>
              <w:spacing w:after="20" w:before="20" w:line="240" w:lineRule="auto"/>
            </w:pPr>
            <w:r>
              <w:rPr>
                <w:rFonts w:ascii="Calibri" w:hAnsi="Calibri"/>
                <w:b w:val="0"/>
                <w:sz w:val="16"/>
              </w:rPr>
              <w:t>License pool repository</w:t>
            </w:r>
          </w:p>
        </w:tc>
        <w:tc>
          <w:tcPr>
            <w:tcW w:w="1298" w:type="dxa"/>
          </w:tcPr>
          <w:p>
            <w:pPr>
              <w:spacing w:after="20" w:before="20" w:line="240" w:lineRule="auto"/>
            </w:pPr>
            <w:r>
              <w:rPr>
                <w:rFonts w:ascii="Calibri" w:hAnsi="Calibri"/>
                <w:b w:val="0"/>
                <w:sz w:val="16"/>
              </w:rPr>
              <w:t>4.2 / DS-SAM-01</w:t>
            </w:r>
          </w:p>
        </w:tc>
        <w:tc>
          <w:tcPr>
            <w:tcW w:w="1635" w:type="dxa"/>
          </w:tcPr>
          <w:p>
            <w:pPr>
              <w:spacing w:after="20" w:before="20" w:line="240" w:lineRule="auto"/>
            </w:pPr>
            <w:r>
              <w:rPr>
                <w:rFonts w:ascii="Calibri" w:hAnsi="Calibri"/>
                <w:b w:val="0"/>
                <w:sz w:val="16"/>
              </w:rPr>
              <w:t>License service</w:t>
            </w:r>
          </w:p>
        </w:tc>
        <w:tc>
          <w:tcPr>
            <w:tcW w:w="702" w:type="dxa"/>
          </w:tcPr>
          <w:p>
            <w:pPr>
              <w:spacing w:after="20" w:before="20" w:line="240" w:lineRule="auto"/>
            </w:pPr>
            <w:r>
              <w:rPr>
                <w:rFonts w:ascii="Calibri" w:hAnsi="Calibri"/>
                <w:b w:val="0"/>
                <w:sz w:val="16"/>
              </w:rPr>
              <w:t>TC-SAM-01</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p>
        </w:tc>
      </w:tr>
      <w:tr>
        <w:tc>
          <w:tcPr>
            <w:shd w:val="clear" w:color="auto" w:fill="F7F9FC"/>
            <w:tcW w:w="607" w:type="dxa"/>
          </w:tcPr>
          <w:p>
            <w:pPr>
              <w:spacing w:after="20" w:before="20" w:line="240" w:lineRule="auto"/>
            </w:pPr>
            <w:r>
              <w:rPr>
                <w:rFonts w:ascii="Calibri" w:hAnsi="Calibri"/>
                <w:b w:val="0"/>
                <w:sz w:val="16"/>
              </w:rPr>
              <w:t>IT-F-006</w:t>
            </w:r>
          </w:p>
        </w:tc>
        <w:tc>
          <w:tcPr>
            <w:shd w:val="clear" w:color="auto" w:fill="F7F9FC"/>
            <w:tcW w:w="2272" w:type="dxa"/>
          </w:tcPr>
          <w:p>
            <w:pPr>
              <w:spacing w:after="20" w:before="20" w:line="240" w:lineRule="auto"/>
            </w:pPr>
            <w:r>
              <w:rPr>
                <w:rFonts w:ascii="Calibri" w:hAnsi="Calibri"/>
                <w:b w:val="0"/>
                <w:sz w:val="16"/>
              </w:rPr>
              <w:t>Seat allocation without over-allocation</w:t>
            </w:r>
          </w:p>
        </w:tc>
        <w:tc>
          <w:tcPr>
            <w:shd w:val="clear" w:color="auto" w:fill="F7F9FC"/>
            <w:tcW w:w="1298" w:type="dxa"/>
          </w:tcPr>
          <w:p>
            <w:pPr>
              <w:spacing w:after="20" w:before="20" w:line="240" w:lineRule="auto"/>
            </w:pPr>
            <w:r>
              <w:rPr>
                <w:rFonts w:ascii="Calibri" w:hAnsi="Calibri"/>
                <w:b w:val="0"/>
                <w:sz w:val="16"/>
              </w:rPr>
              <w:t>4.2 / DS-SAM-02</w:t>
            </w:r>
          </w:p>
        </w:tc>
        <w:tc>
          <w:tcPr>
            <w:shd w:val="clear" w:color="auto" w:fill="F7F9FC"/>
            <w:tcW w:w="1635" w:type="dxa"/>
          </w:tcPr>
          <w:p>
            <w:pPr>
              <w:spacing w:after="20" w:before="20" w:line="240" w:lineRule="auto"/>
            </w:pPr>
            <w:r>
              <w:rPr>
                <w:rFonts w:ascii="Calibri" w:hAnsi="Calibri"/>
                <w:b w:val="0"/>
                <w:sz w:val="16"/>
              </w:rPr>
              <w:t>License service</w:t>
            </w:r>
          </w:p>
        </w:tc>
        <w:tc>
          <w:tcPr>
            <w:shd w:val="clear" w:color="auto" w:fill="F7F9FC"/>
            <w:tcW w:w="702" w:type="dxa"/>
          </w:tcPr>
          <w:p>
            <w:pPr>
              <w:spacing w:after="20" w:before="20" w:line="240" w:lineRule="auto"/>
            </w:pPr>
            <w:r>
              <w:rPr>
                <w:rFonts w:ascii="Calibri" w:hAnsi="Calibri"/>
                <w:b w:val="0"/>
                <w:sz w:val="16"/>
              </w:rPr>
              <w:t>TC-SAM-02</w:t>
            </w:r>
          </w:p>
        </w:tc>
        <w:tc>
          <w:tcPr>
            <w:shd w:val="clear" w:color="auto" w:fill="F7F9FC"/>
            <w:tcW w:w="520" w:type="dxa"/>
          </w:tcPr>
          <w:p>
            <w:pPr>
              <w:spacing w:after="20" w:before="20" w:line="240" w:lineRule="auto"/>
            </w:pPr>
            <w:r>
              <w:rPr>
                <w:rFonts w:ascii="Calibri" w:hAnsi="Calibri"/>
                <w:b w:val="0"/>
                <w:sz w:val="16"/>
              </w:rPr>
              <w:t>A</w:t>
            </w:r>
          </w:p>
        </w:tc>
        <w:tc>
          <w:tcPr>
            <w:shd w:val="clear" w:color="auto" w:fill="F7F9FC"/>
            <w:tcW w:w="2427" w:type="dxa"/>
          </w:tcPr>
          <w:p>
            <w:pPr>
              <w:spacing w:after="20" w:before="20" w:line="240" w:lineRule="auto"/>
            </w:pPr>
            <w:r>
              <w:rPr>
                <w:rFonts w:ascii="Calibri" w:hAnsi="Calibri"/>
                <w:b w:val="0"/>
                <w:sz w:val="16"/>
              </w:rPr>
              <w:t>Includes a concurrency test</w:t>
            </w:r>
          </w:p>
        </w:tc>
      </w:tr>
      <w:tr>
        <w:tc>
          <w:tcPr>
            <w:tcW w:w="607" w:type="dxa"/>
          </w:tcPr>
          <w:p>
            <w:pPr>
              <w:spacing w:after="20" w:before="20" w:line="240" w:lineRule="auto"/>
            </w:pPr>
            <w:r>
              <w:rPr>
                <w:rFonts w:ascii="Calibri" w:hAnsi="Calibri"/>
                <w:b w:val="0"/>
                <w:sz w:val="16"/>
              </w:rPr>
              <w:t>IT-F-007</w:t>
            </w:r>
          </w:p>
        </w:tc>
        <w:tc>
          <w:tcPr>
            <w:tcW w:w="2272" w:type="dxa"/>
          </w:tcPr>
          <w:p>
            <w:pPr>
              <w:spacing w:after="20" w:before="20" w:line="240" w:lineRule="auto"/>
            </w:pPr>
            <w:r>
              <w:rPr>
                <w:rFonts w:ascii="Calibri" w:hAnsi="Calibri"/>
                <w:b w:val="0"/>
                <w:sz w:val="16"/>
              </w:rPr>
              <w:t>Manifest ingestion and reconciliation</w:t>
            </w:r>
          </w:p>
        </w:tc>
        <w:tc>
          <w:tcPr>
            <w:tcW w:w="1298" w:type="dxa"/>
          </w:tcPr>
          <w:p>
            <w:pPr>
              <w:spacing w:after="20" w:before="20" w:line="240" w:lineRule="auto"/>
            </w:pPr>
            <w:r>
              <w:rPr>
                <w:rFonts w:ascii="Calibri" w:hAnsi="Calibri"/>
                <w:b w:val="0"/>
                <w:sz w:val="16"/>
              </w:rPr>
              <w:t>4.2 / DS-SAM-03</w:t>
            </w:r>
          </w:p>
        </w:tc>
        <w:tc>
          <w:tcPr>
            <w:tcW w:w="1635" w:type="dxa"/>
          </w:tcPr>
          <w:p>
            <w:pPr>
              <w:spacing w:after="20" w:before="20" w:line="240" w:lineRule="auto"/>
            </w:pPr>
            <w:r>
              <w:rPr>
                <w:rFonts w:ascii="Calibri" w:hAnsi="Calibri"/>
                <w:b w:val="0"/>
                <w:sz w:val="16"/>
              </w:rPr>
              <w:t>Compliance service</w:t>
            </w:r>
          </w:p>
        </w:tc>
        <w:tc>
          <w:tcPr>
            <w:tcW w:w="702" w:type="dxa"/>
          </w:tcPr>
          <w:p>
            <w:pPr>
              <w:spacing w:after="20" w:before="20" w:line="240" w:lineRule="auto"/>
            </w:pPr>
            <w:r>
              <w:rPr>
                <w:rFonts w:ascii="Calibri" w:hAnsi="Calibri"/>
                <w:b w:val="0"/>
                <w:sz w:val="16"/>
              </w:rPr>
              <w:t>TC-SAM-03</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r>
              <w:rPr>
                <w:rFonts w:ascii="Calibri" w:hAnsi="Calibri"/>
                <w:b w:val="0"/>
                <w:sz w:val="16"/>
              </w:rPr>
              <w:t>Agent program out of scope; simulated agents</w:t>
            </w:r>
          </w:p>
        </w:tc>
      </w:tr>
      <w:tr>
        <w:tc>
          <w:tcPr>
            <w:shd w:val="clear" w:color="auto" w:fill="F7F9FC"/>
            <w:tcW w:w="607" w:type="dxa"/>
          </w:tcPr>
          <w:p>
            <w:pPr>
              <w:spacing w:after="20" w:before="20" w:line="240" w:lineRule="auto"/>
            </w:pPr>
            <w:r>
              <w:rPr>
                <w:rFonts w:ascii="Calibri" w:hAnsi="Calibri"/>
                <w:b w:val="0"/>
                <w:sz w:val="16"/>
              </w:rPr>
              <w:t>IT-F-008</w:t>
            </w:r>
          </w:p>
        </w:tc>
        <w:tc>
          <w:tcPr>
            <w:shd w:val="clear" w:color="auto" w:fill="F7F9FC"/>
            <w:tcW w:w="2272" w:type="dxa"/>
          </w:tcPr>
          <w:p>
            <w:pPr>
              <w:spacing w:after="20" w:before="20" w:line="240" w:lineRule="auto"/>
            </w:pPr>
            <w:r>
              <w:rPr>
                <w:rFonts w:ascii="Calibri" w:hAnsi="Calibri"/>
                <w:b w:val="0"/>
                <w:sz w:val="16"/>
              </w:rPr>
              <w:t>Blacklisted software detection</w:t>
            </w:r>
          </w:p>
        </w:tc>
        <w:tc>
          <w:tcPr>
            <w:shd w:val="clear" w:color="auto" w:fill="F7F9FC"/>
            <w:tcW w:w="1298" w:type="dxa"/>
          </w:tcPr>
          <w:p>
            <w:pPr>
              <w:spacing w:after="20" w:before="20" w:line="240" w:lineRule="auto"/>
            </w:pPr>
            <w:r>
              <w:rPr>
                <w:rFonts w:ascii="Calibri" w:hAnsi="Calibri"/>
                <w:b w:val="0"/>
                <w:sz w:val="16"/>
              </w:rPr>
              <w:t>4.2 / DS-SAM-04</w:t>
            </w:r>
          </w:p>
        </w:tc>
        <w:tc>
          <w:tcPr>
            <w:shd w:val="clear" w:color="auto" w:fill="F7F9FC"/>
            <w:tcW w:w="1635" w:type="dxa"/>
          </w:tcPr>
          <w:p>
            <w:pPr>
              <w:spacing w:after="20" w:before="20" w:line="240" w:lineRule="auto"/>
            </w:pPr>
            <w:r>
              <w:rPr>
                <w:rFonts w:ascii="Calibri" w:hAnsi="Calibri"/>
                <w:b w:val="0"/>
                <w:sz w:val="16"/>
              </w:rPr>
              <w:t>Compliance service</w:t>
            </w:r>
          </w:p>
        </w:tc>
        <w:tc>
          <w:tcPr>
            <w:shd w:val="clear" w:color="auto" w:fill="F7F9FC"/>
            <w:tcW w:w="702" w:type="dxa"/>
          </w:tcPr>
          <w:p>
            <w:pPr>
              <w:spacing w:after="20" w:before="20" w:line="240" w:lineRule="auto"/>
            </w:pPr>
            <w:r>
              <w:rPr>
                <w:rFonts w:ascii="Calibri" w:hAnsi="Calibri"/>
                <w:b w:val="0"/>
                <w:sz w:val="16"/>
              </w:rPr>
              <w:t>TC-SAM-04</w:t>
            </w:r>
          </w:p>
        </w:tc>
        <w:tc>
          <w:tcPr>
            <w:shd w:val="clear" w:color="auto" w:fill="F7F9FC"/>
            <w:tcW w:w="520" w:type="dxa"/>
          </w:tcPr>
          <w:p>
            <w:pPr>
              <w:spacing w:after="20" w:before="20" w:line="240" w:lineRule="auto"/>
            </w:pPr>
            <w:r>
              <w:rPr>
                <w:rFonts w:ascii="Calibri" w:hAnsi="Calibri"/>
                <w:b w:val="0"/>
                <w:sz w:val="16"/>
              </w:rPr>
              <w:t>A</w:t>
            </w:r>
          </w:p>
        </w:tc>
        <w:tc>
          <w:tcPr>
            <w:shd w:val="clear" w:color="auto" w:fill="F7F9FC"/>
            <w:tcW w:w="2427" w:type="dxa"/>
          </w:tcPr>
          <w:p>
            <w:pPr>
              <w:spacing w:after="20" w:before="20" w:line="240" w:lineRule="auto"/>
            </w:pPr>
          </w:p>
        </w:tc>
      </w:tr>
      <w:tr>
        <w:tc>
          <w:tcPr>
            <w:tcW w:w="607" w:type="dxa"/>
          </w:tcPr>
          <w:p>
            <w:pPr>
              <w:spacing w:after="20" w:before="20" w:line="240" w:lineRule="auto"/>
            </w:pPr>
            <w:r>
              <w:rPr>
                <w:rFonts w:ascii="Calibri" w:hAnsi="Calibri"/>
                <w:b w:val="0"/>
                <w:sz w:val="16"/>
              </w:rPr>
              <w:t>IT-F-009</w:t>
            </w:r>
          </w:p>
        </w:tc>
        <w:tc>
          <w:tcPr>
            <w:tcW w:w="2272" w:type="dxa"/>
          </w:tcPr>
          <w:p>
            <w:pPr>
              <w:spacing w:after="20" w:before="20" w:line="240" w:lineRule="auto"/>
            </w:pPr>
            <w:r>
              <w:rPr>
                <w:rFonts w:ascii="Calibri" w:hAnsi="Calibri"/>
                <w:b w:val="0"/>
                <w:sz w:val="16"/>
              </w:rPr>
              <w:t>Submit requisition</w:t>
            </w:r>
          </w:p>
        </w:tc>
        <w:tc>
          <w:tcPr>
            <w:tcW w:w="1298" w:type="dxa"/>
          </w:tcPr>
          <w:p>
            <w:pPr>
              <w:spacing w:after="20" w:before="20" w:line="240" w:lineRule="auto"/>
            </w:pPr>
            <w:r>
              <w:rPr>
                <w:rFonts w:ascii="Calibri" w:hAnsi="Calibri"/>
                <w:b w:val="0"/>
                <w:sz w:val="16"/>
              </w:rPr>
              <w:t>4.3 / DS-PROC-01</w:t>
            </w:r>
          </w:p>
        </w:tc>
        <w:tc>
          <w:tcPr>
            <w:tcW w:w="1635" w:type="dxa"/>
          </w:tcPr>
          <w:p>
            <w:pPr>
              <w:spacing w:after="20" w:before="20" w:line="240" w:lineRule="auto"/>
            </w:pPr>
            <w:r>
              <w:rPr>
                <w:rFonts w:ascii="Calibri" w:hAnsi="Calibri"/>
                <w:b w:val="0"/>
                <w:sz w:val="16"/>
              </w:rPr>
              <w:t>Procurement service</w:t>
            </w:r>
          </w:p>
        </w:tc>
        <w:tc>
          <w:tcPr>
            <w:tcW w:w="702" w:type="dxa"/>
          </w:tcPr>
          <w:p>
            <w:pPr>
              <w:spacing w:after="20" w:before="20" w:line="240" w:lineRule="auto"/>
            </w:pPr>
            <w:r>
              <w:rPr>
                <w:rFonts w:ascii="Calibri" w:hAnsi="Calibri"/>
                <w:b w:val="0"/>
                <w:sz w:val="16"/>
              </w:rPr>
              <w:t>TC-PROC-01</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p>
        </w:tc>
      </w:tr>
      <w:tr>
        <w:tc>
          <w:tcPr>
            <w:shd w:val="clear" w:color="auto" w:fill="F7F9FC"/>
            <w:tcW w:w="607" w:type="dxa"/>
          </w:tcPr>
          <w:p>
            <w:pPr>
              <w:spacing w:after="20" w:before="20" w:line="240" w:lineRule="auto"/>
            </w:pPr>
            <w:r>
              <w:rPr>
                <w:rFonts w:ascii="Calibri" w:hAnsi="Calibri"/>
                <w:b w:val="0"/>
                <w:sz w:val="16"/>
              </w:rPr>
              <w:t>IT-F-010</w:t>
            </w:r>
          </w:p>
        </w:tc>
        <w:tc>
          <w:tcPr>
            <w:shd w:val="clear" w:color="auto" w:fill="F7F9FC"/>
            <w:tcW w:w="2272" w:type="dxa"/>
          </w:tcPr>
          <w:p>
            <w:pPr>
              <w:spacing w:after="20" w:before="20" w:line="240" w:lineRule="auto"/>
            </w:pPr>
            <w:r>
              <w:rPr>
                <w:rFonts w:ascii="Calibri" w:hAnsi="Calibri"/>
                <w:b w:val="0"/>
                <w:sz w:val="16"/>
              </w:rPr>
              <w:t>Three-tier approval chain</w:t>
            </w:r>
          </w:p>
        </w:tc>
        <w:tc>
          <w:tcPr>
            <w:shd w:val="clear" w:color="auto" w:fill="F7F9FC"/>
            <w:tcW w:w="1298" w:type="dxa"/>
          </w:tcPr>
          <w:p>
            <w:pPr>
              <w:spacing w:after="20" w:before="20" w:line="240" w:lineRule="auto"/>
            </w:pPr>
            <w:r>
              <w:rPr>
                <w:rFonts w:ascii="Calibri" w:hAnsi="Calibri"/>
                <w:b w:val="0"/>
                <w:sz w:val="16"/>
              </w:rPr>
              <w:t>4.3 / DS-PROC-02</w:t>
            </w:r>
          </w:p>
        </w:tc>
        <w:tc>
          <w:tcPr>
            <w:shd w:val="clear" w:color="auto" w:fill="F7F9FC"/>
            <w:tcW w:w="1635" w:type="dxa"/>
          </w:tcPr>
          <w:p>
            <w:pPr>
              <w:spacing w:after="20" w:before="20" w:line="240" w:lineRule="auto"/>
            </w:pPr>
            <w:r>
              <w:rPr>
                <w:rFonts w:ascii="Calibri" w:hAnsi="Calibri"/>
                <w:b w:val="0"/>
                <w:sz w:val="16"/>
              </w:rPr>
              <w:t>Procurement service</w:t>
            </w:r>
          </w:p>
        </w:tc>
        <w:tc>
          <w:tcPr>
            <w:shd w:val="clear" w:color="auto" w:fill="F7F9FC"/>
            <w:tcW w:w="702" w:type="dxa"/>
          </w:tcPr>
          <w:p>
            <w:pPr>
              <w:spacing w:after="20" w:before="20" w:line="240" w:lineRule="auto"/>
            </w:pPr>
            <w:r>
              <w:rPr>
                <w:rFonts w:ascii="Calibri" w:hAnsi="Calibri"/>
                <w:b w:val="0"/>
                <w:sz w:val="16"/>
              </w:rPr>
              <w:t>TC-PROC-02</w:t>
            </w:r>
          </w:p>
        </w:tc>
        <w:tc>
          <w:tcPr>
            <w:shd w:val="clear" w:color="auto" w:fill="F7F9FC"/>
            <w:tcW w:w="520" w:type="dxa"/>
          </w:tcPr>
          <w:p>
            <w:pPr>
              <w:spacing w:after="20" w:before="20" w:line="240" w:lineRule="auto"/>
            </w:pPr>
            <w:r>
              <w:rPr>
                <w:rFonts w:ascii="Calibri" w:hAnsi="Calibri"/>
                <w:b w:val="0"/>
                <w:sz w:val="16"/>
              </w:rPr>
              <w:t>A</w:t>
            </w:r>
          </w:p>
        </w:tc>
        <w:tc>
          <w:tcPr>
            <w:shd w:val="clear" w:color="auto" w:fill="F7F9FC"/>
            <w:tcW w:w="2427" w:type="dxa"/>
          </w:tcPr>
          <w:p>
            <w:pPr>
              <w:spacing w:after="20" w:before="20" w:line="240" w:lineRule="auto"/>
            </w:pPr>
          </w:p>
        </w:tc>
      </w:tr>
      <w:tr>
        <w:tc>
          <w:tcPr>
            <w:tcW w:w="607" w:type="dxa"/>
          </w:tcPr>
          <w:p>
            <w:pPr>
              <w:spacing w:after="20" w:before="20" w:line="240" w:lineRule="auto"/>
            </w:pPr>
            <w:r>
              <w:rPr>
                <w:rFonts w:ascii="Calibri" w:hAnsi="Calibri"/>
                <w:b w:val="0"/>
                <w:sz w:val="16"/>
              </w:rPr>
              <w:t>IT-F-011</w:t>
            </w:r>
          </w:p>
        </w:tc>
        <w:tc>
          <w:tcPr>
            <w:tcW w:w="2272" w:type="dxa"/>
          </w:tcPr>
          <w:p>
            <w:pPr>
              <w:spacing w:after="20" w:before="20" w:line="240" w:lineRule="auto"/>
            </w:pPr>
            <w:r>
              <w:rPr>
                <w:rFonts w:ascii="Calibri" w:hAnsi="Calibri"/>
                <w:b w:val="0"/>
                <w:sz w:val="16"/>
              </w:rPr>
              <w:t>Purchase order and delivery onboarding</w:t>
            </w:r>
          </w:p>
        </w:tc>
        <w:tc>
          <w:tcPr>
            <w:tcW w:w="1298" w:type="dxa"/>
          </w:tcPr>
          <w:p>
            <w:pPr>
              <w:spacing w:after="20" w:before="20" w:line="240" w:lineRule="auto"/>
            </w:pPr>
            <w:r>
              <w:rPr>
                <w:rFonts w:ascii="Calibri" w:hAnsi="Calibri"/>
                <w:b w:val="0"/>
                <w:sz w:val="16"/>
              </w:rPr>
              <w:t>4.3 / DS-PROC-03</w:t>
            </w:r>
          </w:p>
        </w:tc>
        <w:tc>
          <w:tcPr>
            <w:tcW w:w="1635" w:type="dxa"/>
          </w:tcPr>
          <w:p>
            <w:pPr>
              <w:spacing w:after="20" w:before="20" w:line="240" w:lineRule="auto"/>
            </w:pPr>
            <w:r>
              <w:rPr>
                <w:rFonts w:ascii="Calibri" w:hAnsi="Calibri"/>
                <w:b w:val="0"/>
                <w:sz w:val="16"/>
              </w:rPr>
              <w:t>Procurement service</w:t>
            </w:r>
          </w:p>
        </w:tc>
        <w:tc>
          <w:tcPr>
            <w:tcW w:w="702" w:type="dxa"/>
          </w:tcPr>
          <w:p>
            <w:pPr>
              <w:spacing w:after="20" w:before="20" w:line="240" w:lineRule="auto"/>
            </w:pPr>
            <w:r>
              <w:rPr>
                <w:rFonts w:ascii="Calibri" w:hAnsi="Calibri"/>
                <w:b w:val="0"/>
                <w:sz w:val="16"/>
              </w:rPr>
              <w:t>TC-PROC-03</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p>
        </w:tc>
      </w:tr>
      <w:tr>
        <w:tc>
          <w:tcPr>
            <w:shd w:val="clear" w:color="auto" w:fill="F7F9FC"/>
            <w:tcW w:w="607" w:type="dxa"/>
          </w:tcPr>
          <w:p>
            <w:pPr>
              <w:spacing w:after="20" w:before="20" w:line="240" w:lineRule="auto"/>
            </w:pPr>
            <w:r>
              <w:rPr>
                <w:rFonts w:ascii="Calibri" w:hAnsi="Calibri"/>
                <w:b w:val="0"/>
                <w:sz w:val="16"/>
              </w:rPr>
              <w:t>IT-F-012</w:t>
            </w:r>
          </w:p>
        </w:tc>
        <w:tc>
          <w:tcPr>
            <w:shd w:val="clear" w:color="auto" w:fill="F7F9FC"/>
            <w:tcW w:w="2272" w:type="dxa"/>
          </w:tcPr>
          <w:p>
            <w:pPr>
              <w:spacing w:after="20" w:before="20" w:line="240" w:lineRule="auto"/>
            </w:pPr>
            <w:r>
              <w:rPr>
                <w:rFonts w:ascii="Calibri" w:hAnsi="Calibri"/>
                <w:b w:val="0"/>
                <w:sz w:val="16"/>
              </w:rPr>
              <w:t>Under-licensing breach alert</w:t>
            </w:r>
          </w:p>
        </w:tc>
        <w:tc>
          <w:tcPr>
            <w:shd w:val="clear" w:color="auto" w:fill="F7F9FC"/>
            <w:tcW w:w="1298" w:type="dxa"/>
          </w:tcPr>
          <w:p>
            <w:pPr>
              <w:spacing w:after="20" w:before="20" w:line="240" w:lineRule="auto"/>
            </w:pPr>
            <w:r>
              <w:rPr>
                <w:rFonts w:ascii="Calibri" w:hAnsi="Calibri"/>
                <w:b w:val="0"/>
                <w:sz w:val="16"/>
              </w:rPr>
              <w:t>4.4 / DS-AUD-01</w:t>
            </w:r>
          </w:p>
        </w:tc>
        <w:tc>
          <w:tcPr>
            <w:shd w:val="clear" w:color="auto" w:fill="F7F9FC"/>
            <w:tcW w:w="1635" w:type="dxa"/>
          </w:tcPr>
          <w:p>
            <w:pPr>
              <w:spacing w:after="20" w:before="20" w:line="240" w:lineRule="auto"/>
            </w:pPr>
            <w:r>
              <w:rPr>
                <w:rFonts w:ascii="Calibri" w:hAnsi="Calibri"/>
                <w:b w:val="0"/>
                <w:sz w:val="16"/>
              </w:rPr>
              <w:t>Compliance, Notification services</w:t>
            </w:r>
          </w:p>
        </w:tc>
        <w:tc>
          <w:tcPr>
            <w:shd w:val="clear" w:color="auto" w:fill="F7F9FC"/>
            <w:tcW w:w="702" w:type="dxa"/>
          </w:tcPr>
          <w:p>
            <w:pPr>
              <w:spacing w:after="20" w:before="20" w:line="240" w:lineRule="auto"/>
            </w:pPr>
            <w:r>
              <w:rPr>
                <w:rFonts w:ascii="Calibri" w:hAnsi="Calibri"/>
                <w:b w:val="0"/>
                <w:sz w:val="16"/>
              </w:rPr>
              <w:t>TC-AUD-01</w:t>
            </w:r>
          </w:p>
        </w:tc>
        <w:tc>
          <w:tcPr>
            <w:shd w:val="clear" w:color="auto" w:fill="F7F9FC"/>
            <w:tcW w:w="520" w:type="dxa"/>
          </w:tcPr>
          <w:p>
            <w:pPr>
              <w:spacing w:after="20" w:before="20" w:line="240" w:lineRule="auto"/>
            </w:pPr>
            <w:r>
              <w:rPr>
                <w:rFonts w:ascii="Calibri" w:hAnsi="Calibri"/>
                <w:b w:val="0"/>
                <w:sz w:val="16"/>
              </w:rPr>
              <w:t>A</w:t>
            </w:r>
          </w:p>
        </w:tc>
        <w:tc>
          <w:tcPr>
            <w:shd w:val="clear" w:color="auto" w:fill="F7F9FC"/>
            <w:tcW w:w="2427" w:type="dxa"/>
          </w:tcPr>
          <w:p>
            <w:pPr>
              <w:spacing w:after="20" w:before="20" w:line="240" w:lineRule="auto"/>
            </w:pPr>
            <w:r>
              <w:rPr>
                <w:rFonts w:ascii="Calibri" w:hAnsi="Calibri"/>
                <w:b w:val="0"/>
                <w:sz w:val="16"/>
              </w:rPr>
              <w:t>In-app notification; email out of scope</w:t>
            </w:r>
          </w:p>
        </w:tc>
      </w:tr>
      <w:tr>
        <w:tc>
          <w:tcPr>
            <w:tcW w:w="607" w:type="dxa"/>
          </w:tcPr>
          <w:p>
            <w:pPr>
              <w:spacing w:after="20" w:before="20" w:line="240" w:lineRule="auto"/>
            </w:pPr>
            <w:r>
              <w:rPr>
                <w:rFonts w:ascii="Calibri" w:hAnsi="Calibri"/>
                <w:b w:val="0"/>
                <w:sz w:val="16"/>
              </w:rPr>
              <w:t>IT-F-013</w:t>
            </w:r>
          </w:p>
        </w:tc>
        <w:tc>
          <w:tcPr>
            <w:tcW w:w="2272" w:type="dxa"/>
          </w:tcPr>
          <w:p>
            <w:pPr>
              <w:spacing w:after="20" w:before="20" w:line="240" w:lineRule="auto"/>
            </w:pPr>
            <w:r>
              <w:rPr>
                <w:rFonts w:ascii="Calibri" w:hAnsi="Calibri"/>
                <w:b w:val="0"/>
                <w:sz w:val="16"/>
              </w:rPr>
              <w:t>Expiry alerts 60/30/7 days</w:t>
            </w:r>
          </w:p>
        </w:tc>
        <w:tc>
          <w:tcPr>
            <w:tcW w:w="1298" w:type="dxa"/>
          </w:tcPr>
          <w:p>
            <w:pPr>
              <w:spacing w:after="20" w:before="20" w:line="240" w:lineRule="auto"/>
            </w:pPr>
            <w:r>
              <w:rPr>
                <w:rFonts w:ascii="Calibri" w:hAnsi="Calibri"/>
                <w:b w:val="0"/>
                <w:sz w:val="16"/>
              </w:rPr>
              <w:t>4.4 / DS-AUD-02</w:t>
            </w:r>
          </w:p>
        </w:tc>
        <w:tc>
          <w:tcPr>
            <w:tcW w:w="1635" w:type="dxa"/>
          </w:tcPr>
          <w:p>
            <w:pPr>
              <w:spacing w:after="20" w:before="20" w:line="240" w:lineRule="auto"/>
            </w:pPr>
            <w:r>
              <w:rPr>
                <w:rFonts w:ascii="Calibri" w:hAnsi="Calibri"/>
                <w:b w:val="0"/>
                <w:sz w:val="16"/>
              </w:rPr>
              <w:t>Alert service</w:t>
            </w:r>
          </w:p>
        </w:tc>
        <w:tc>
          <w:tcPr>
            <w:tcW w:w="702" w:type="dxa"/>
          </w:tcPr>
          <w:p>
            <w:pPr>
              <w:spacing w:after="20" w:before="20" w:line="240" w:lineRule="auto"/>
            </w:pPr>
            <w:r>
              <w:rPr>
                <w:rFonts w:ascii="Calibri" w:hAnsi="Calibri"/>
                <w:b w:val="0"/>
                <w:sz w:val="16"/>
              </w:rPr>
              <w:t>TC-AUD-02</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p>
        </w:tc>
      </w:tr>
      <w:tr>
        <w:tc>
          <w:tcPr>
            <w:shd w:val="clear" w:color="auto" w:fill="F7F9FC"/>
            <w:tcW w:w="607" w:type="dxa"/>
          </w:tcPr>
          <w:p>
            <w:pPr>
              <w:spacing w:after="20" w:before="20" w:line="240" w:lineRule="auto"/>
            </w:pPr>
            <w:r>
              <w:rPr>
                <w:rFonts w:ascii="Calibri" w:hAnsi="Calibri"/>
                <w:b w:val="0"/>
                <w:sz w:val="16"/>
              </w:rPr>
              <w:t>IT-F-014</w:t>
            </w:r>
          </w:p>
        </w:tc>
        <w:tc>
          <w:tcPr>
            <w:shd w:val="clear" w:color="auto" w:fill="F7F9FC"/>
            <w:tcW w:w="2272" w:type="dxa"/>
          </w:tcPr>
          <w:p>
            <w:pPr>
              <w:spacing w:after="20" w:before="20" w:line="240" w:lineRule="auto"/>
            </w:pPr>
            <w:r>
              <w:rPr>
                <w:rFonts w:ascii="Calibri" w:hAnsi="Calibri"/>
                <w:b w:val="0"/>
                <w:sz w:val="16"/>
              </w:rPr>
              <w:t>Compliance report JSON / CSV</w:t>
            </w:r>
          </w:p>
        </w:tc>
        <w:tc>
          <w:tcPr>
            <w:shd w:val="clear" w:color="auto" w:fill="F7F9FC"/>
            <w:tcW w:w="1298" w:type="dxa"/>
          </w:tcPr>
          <w:p>
            <w:pPr>
              <w:spacing w:after="20" w:before="20" w:line="240" w:lineRule="auto"/>
            </w:pPr>
            <w:r>
              <w:rPr>
                <w:rFonts w:ascii="Calibri" w:hAnsi="Calibri"/>
                <w:b w:val="0"/>
                <w:sz w:val="16"/>
              </w:rPr>
              <w:t>4.4 / DS-AUD-03</w:t>
            </w:r>
          </w:p>
        </w:tc>
        <w:tc>
          <w:tcPr>
            <w:shd w:val="clear" w:color="auto" w:fill="F7F9FC"/>
            <w:tcW w:w="1635" w:type="dxa"/>
          </w:tcPr>
          <w:p>
            <w:pPr>
              <w:spacing w:after="20" w:before="20" w:line="240" w:lineRule="auto"/>
            </w:pPr>
            <w:r>
              <w:rPr>
                <w:rFonts w:ascii="Calibri" w:hAnsi="Calibri"/>
                <w:b w:val="0"/>
                <w:sz w:val="16"/>
              </w:rPr>
              <w:t>Report service</w:t>
            </w:r>
          </w:p>
        </w:tc>
        <w:tc>
          <w:tcPr>
            <w:shd w:val="clear" w:color="auto" w:fill="F7F9FC"/>
            <w:tcW w:w="702" w:type="dxa"/>
          </w:tcPr>
          <w:p>
            <w:pPr>
              <w:spacing w:after="20" w:before="20" w:line="240" w:lineRule="auto"/>
            </w:pPr>
            <w:r>
              <w:rPr>
                <w:rFonts w:ascii="Calibri" w:hAnsi="Calibri"/>
                <w:b w:val="0"/>
                <w:sz w:val="16"/>
              </w:rPr>
              <w:t>TC-AUD-03</w:t>
            </w:r>
          </w:p>
        </w:tc>
        <w:tc>
          <w:tcPr>
            <w:shd w:val="clear" w:color="auto" w:fill="F7F9FC"/>
            <w:tcW w:w="520" w:type="dxa"/>
          </w:tcPr>
          <w:p>
            <w:pPr>
              <w:spacing w:after="20" w:before="20" w:line="240" w:lineRule="auto"/>
            </w:pPr>
            <w:r>
              <w:rPr>
                <w:rFonts w:ascii="Calibri" w:hAnsi="Calibri"/>
                <w:b w:val="0"/>
                <w:sz w:val="16"/>
              </w:rPr>
              <w:t>A</w:t>
            </w:r>
          </w:p>
        </w:tc>
        <w:tc>
          <w:tcPr>
            <w:shd w:val="clear" w:color="auto" w:fill="F7F9FC"/>
            <w:tcW w:w="2427" w:type="dxa"/>
          </w:tcPr>
          <w:p>
            <w:pPr>
              <w:spacing w:after="20" w:before="20" w:line="240" w:lineRule="auto"/>
            </w:pPr>
          </w:p>
        </w:tc>
      </w:tr>
      <w:tr>
        <w:tc>
          <w:tcPr>
            <w:tcW w:w="607" w:type="dxa"/>
          </w:tcPr>
          <w:p>
            <w:pPr>
              <w:spacing w:after="20" w:before="20" w:line="240" w:lineRule="auto"/>
            </w:pPr>
            <w:r>
              <w:rPr>
                <w:rFonts w:ascii="Calibri" w:hAnsi="Calibri"/>
                <w:b w:val="0"/>
                <w:sz w:val="16"/>
              </w:rPr>
              <w:t>IT-F-015</w:t>
            </w:r>
          </w:p>
        </w:tc>
        <w:tc>
          <w:tcPr>
            <w:tcW w:w="2272" w:type="dxa"/>
          </w:tcPr>
          <w:p>
            <w:pPr>
              <w:spacing w:after="20" w:before="20" w:line="240" w:lineRule="auto"/>
            </w:pPr>
            <w:r>
              <w:rPr>
                <w:rFonts w:ascii="Calibri" w:hAnsi="Calibri"/>
                <w:b w:val="0"/>
                <w:sz w:val="16"/>
              </w:rPr>
              <w:t>Maintenance logging</w:t>
            </w:r>
          </w:p>
        </w:tc>
        <w:tc>
          <w:tcPr>
            <w:tcW w:w="1298" w:type="dxa"/>
          </w:tcPr>
          <w:p>
            <w:pPr>
              <w:spacing w:after="20" w:before="20" w:line="240" w:lineRule="auto"/>
            </w:pPr>
            <w:r>
              <w:rPr>
                <w:rFonts w:ascii="Calibri" w:hAnsi="Calibri"/>
                <w:b w:val="0"/>
                <w:sz w:val="16"/>
              </w:rPr>
              <w:t>4.5 / DS-MAINT-01</w:t>
            </w:r>
          </w:p>
        </w:tc>
        <w:tc>
          <w:tcPr>
            <w:tcW w:w="1635" w:type="dxa"/>
          </w:tcPr>
          <w:p>
            <w:pPr>
              <w:spacing w:after="20" w:before="20" w:line="240" w:lineRule="auto"/>
            </w:pPr>
            <w:r>
              <w:rPr>
                <w:rFonts w:ascii="Calibri" w:hAnsi="Calibri"/>
                <w:b w:val="0"/>
                <w:sz w:val="16"/>
              </w:rPr>
              <w:t>Hardware service</w:t>
            </w:r>
          </w:p>
        </w:tc>
        <w:tc>
          <w:tcPr>
            <w:tcW w:w="702" w:type="dxa"/>
          </w:tcPr>
          <w:p>
            <w:pPr>
              <w:spacing w:after="20" w:before="20" w:line="240" w:lineRule="auto"/>
            </w:pPr>
            <w:r>
              <w:rPr>
                <w:rFonts w:ascii="Calibri" w:hAnsi="Calibri"/>
                <w:b w:val="0"/>
                <w:sz w:val="16"/>
              </w:rPr>
              <w:t>TC-MAINT-01</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p>
        </w:tc>
      </w:tr>
      <w:tr>
        <w:tc>
          <w:tcPr>
            <w:shd w:val="clear" w:color="auto" w:fill="F7F9FC"/>
            <w:tcW w:w="607" w:type="dxa"/>
          </w:tcPr>
          <w:p>
            <w:pPr>
              <w:spacing w:after="20" w:before="20" w:line="240" w:lineRule="auto"/>
            </w:pPr>
            <w:r>
              <w:rPr>
                <w:rFonts w:ascii="Calibri" w:hAnsi="Calibri"/>
                <w:b w:val="0"/>
                <w:sz w:val="16"/>
              </w:rPr>
              <w:t>IT-F-016</w:t>
            </w:r>
          </w:p>
        </w:tc>
        <w:tc>
          <w:tcPr>
            <w:shd w:val="clear" w:color="auto" w:fill="F7F9FC"/>
            <w:tcW w:w="2272" w:type="dxa"/>
          </w:tcPr>
          <w:p>
            <w:pPr>
              <w:spacing w:after="20" w:before="20" w:line="240" w:lineRule="auto"/>
            </w:pPr>
            <w:r>
              <w:rPr>
                <w:rFonts w:ascii="Calibri" w:hAnsi="Calibri"/>
                <w:b w:val="0"/>
                <w:sz w:val="16"/>
              </w:rPr>
              <w:t>Decommissioning with seat reclaim</w:t>
            </w:r>
          </w:p>
        </w:tc>
        <w:tc>
          <w:tcPr>
            <w:shd w:val="clear" w:color="auto" w:fill="F7F9FC"/>
            <w:tcW w:w="1298" w:type="dxa"/>
          </w:tcPr>
          <w:p>
            <w:pPr>
              <w:spacing w:after="20" w:before="20" w:line="240" w:lineRule="auto"/>
            </w:pPr>
            <w:r>
              <w:rPr>
                <w:rFonts w:ascii="Calibri" w:hAnsi="Calibri"/>
                <w:b w:val="0"/>
                <w:sz w:val="16"/>
              </w:rPr>
              <w:t>4.5 / DS-MAINT-02</w:t>
            </w:r>
          </w:p>
        </w:tc>
        <w:tc>
          <w:tcPr>
            <w:shd w:val="clear" w:color="auto" w:fill="F7F9FC"/>
            <w:tcW w:w="1635" w:type="dxa"/>
          </w:tcPr>
          <w:p>
            <w:pPr>
              <w:spacing w:after="20" w:before="20" w:line="240" w:lineRule="auto"/>
            </w:pPr>
            <w:r>
              <w:rPr>
                <w:rFonts w:ascii="Calibri" w:hAnsi="Calibri"/>
                <w:b w:val="0"/>
                <w:sz w:val="16"/>
              </w:rPr>
              <w:t>Hardware, License services</w:t>
            </w:r>
          </w:p>
        </w:tc>
        <w:tc>
          <w:tcPr>
            <w:shd w:val="clear" w:color="auto" w:fill="F7F9FC"/>
            <w:tcW w:w="702" w:type="dxa"/>
          </w:tcPr>
          <w:p>
            <w:pPr>
              <w:spacing w:after="20" w:before="20" w:line="240" w:lineRule="auto"/>
            </w:pPr>
            <w:r>
              <w:rPr>
                <w:rFonts w:ascii="Calibri" w:hAnsi="Calibri"/>
                <w:b w:val="0"/>
                <w:sz w:val="16"/>
              </w:rPr>
              <w:t>TC-MAINT-02</w:t>
            </w:r>
          </w:p>
        </w:tc>
        <w:tc>
          <w:tcPr>
            <w:shd w:val="clear" w:color="auto" w:fill="F7F9FC"/>
            <w:tcW w:w="520" w:type="dxa"/>
          </w:tcPr>
          <w:p>
            <w:pPr>
              <w:spacing w:after="20" w:before="20" w:line="240" w:lineRule="auto"/>
            </w:pPr>
            <w:r>
              <w:rPr>
                <w:rFonts w:ascii="Calibri" w:hAnsi="Calibri"/>
                <w:b w:val="0"/>
                <w:sz w:val="16"/>
              </w:rPr>
              <w:t>A</w:t>
            </w:r>
          </w:p>
        </w:tc>
        <w:tc>
          <w:tcPr>
            <w:shd w:val="clear" w:color="auto" w:fill="F7F9FC"/>
            <w:tcW w:w="2427" w:type="dxa"/>
          </w:tcPr>
          <w:p>
            <w:pPr>
              <w:spacing w:after="20" w:before="20" w:line="240" w:lineRule="auto"/>
            </w:pPr>
          </w:p>
        </w:tc>
      </w:tr>
      <w:tr>
        <w:tc>
          <w:tcPr>
            <w:tcW w:w="607" w:type="dxa"/>
          </w:tcPr>
          <w:p>
            <w:pPr>
              <w:spacing w:after="20" w:before="20" w:line="240" w:lineRule="auto"/>
            </w:pPr>
            <w:r>
              <w:rPr>
                <w:rFonts w:ascii="Calibri" w:hAnsi="Calibri"/>
                <w:b w:val="0"/>
                <w:sz w:val="16"/>
              </w:rPr>
              <w:t>IT-NF-001</w:t>
            </w:r>
          </w:p>
        </w:tc>
        <w:tc>
          <w:tcPr>
            <w:tcW w:w="2272" w:type="dxa"/>
          </w:tcPr>
          <w:p>
            <w:pPr>
              <w:spacing w:after="20" w:before="20" w:line="240" w:lineRule="auto"/>
            </w:pPr>
            <w:r>
              <w:rPr>
                <w:rFonts w:ascii="Calibri" w:hAnsi="Calibri"/>
                <w:b w:val="0"/>
                <w:sz w:val="16"/>
              </w:rPr>
              <w:t>p95 latency at most 300 ms</w:t>
            </w:r>
          </w:p>
        </w:tc>
        <w:tc>
          <w:tcPr>
            <w:tcW w:w="1298" w:type="dxa"/>
          </w:tcPr>
          <w:p>
            <w:pPr>
              <w:spacing w:after="20" w:before="20" w:line="240" w:lineRule="auto"/>
            </w:pPr>
            <w:r>
              <w:rPr>
                <w:rFonts w:ascii="Calibri" w:hAnsi="Calibri"/>
                <w:b w:val="0"/>
                <w:sz w:val="16"/>
              </w:rPr>
              <w:t>5 / DS-PERF-01</w:t>
            </w:r>
          </w:p>
        </w:tc>
        <w:tc>
          <w:tcPr>
            <w:tcW w:w="1635" w:type="dxa"/>
          </w:tcPr>
          <w:p>
            <w:pPr>
              <w:spacing w:after="20" w:before="20" w:line="240" w:lineRule="auto"/>
            </w:pPr>
            <w:r>
              <w:rPr>
                <w:rFonts w:ascii="Calibri" w:hAnsi="Calibri"/>
                <w:b w:val="0"/>
                <w:sz w:val="16"/>
              </w:rPr>
              <w:t>HTTP layer, Store</w:t>
            </w:r>
          </w:p>
        </w:tc>
        <w:tc>
          <w:tcPr>
            <w:tcW w:w="702" w:type="dxa"/>
          </w:tcPr>
          <w:p>
            <w:pPr>
              <w:spacing w:after="20" w:before="20" w:line="240" w:lineRule="auto"/>
            </w:pPr>
            <w:r>
              <w:rPr>
                <w:rFonts w:ascii="Calibri" w:hAnsi="Calibri"/>
                <w:b w:val="0"/>
                <w:sz w:val="16"/>
              </w:rPr>
              <w:t>TC-PERF-01</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r>
              <w:rPr>
                <w:rFonts w:ascii="Calibri" w:hAnsi="Calibri"/>
                <w:b w:val="0"/>
                <w:sz w:val="16"/>
              </w:rPr>
              <w:t>Measured values printed in CI logs</w:t>
            </w:r>
          </w:p>
        </w:tc>
      </w:tr>
      <w:tr>
        <w:tc>
          <w:tcPr>
            <w:shd w:val="clear" w:color="auto" w:fill="F7F9FC"/>
            <w:tcW w:w="607" w:type="dxa"/>
          </w:tcPr>
          <w:p>
            <w:pPr>
              <w:spacing w:after="20" w:before="20" w:line="240" w:lineRule="auto"/>
            </w:pPr>
            <w:r>
              <w:rPr>
                <w:rFonts w:ascii="Calibri" w:hAnsi="Calibri"/>
                <w:b w:val="0"/>
                <w:sz w:val="16"/>
              </w:rPr>
              <w:t>IT-NF-002</w:t>
            </w:r>
          </w:p>
        </w:tc>
        <w:tc>
          <w:tcPr>
            <w:shd w:val="clear" w:color="auto" w:fill="F7F9FC"/>
            <w:tcW w:w="2272" w:type="dxa"/>
          </w:tcPr>
          <w:p>
            <w:pPr>
              <w:spacing w:after="20" w:before="20" w:line="240" w:lineRule="auto"/>
            </w:pPr>
            <w:r>
              <w:rPr>
                <w:rFonts w:ascii="Calibri" w:hAnsi="Calibri"/>
                <w:b w:val="0"/>
                <w:sz w:val="16"/>
              </w:rPr>
              <w:t>Probes, fault isolation, graceful shutdown</w:t>
            </w:r>
          </w:p>
        </w:tc>
        <w:tc>
          <w:tcPr>
            <w:shd w:val="clear" w:color="auto" w:fill="F7F9FC"/>
            <w:tcW w:w="1298" w:type="dxa"/>
          </w:tcPr>
          <w:p>
            <w:pPr>
              <w:spacing w:after="20" w:before="20" w:line="240" w:lineRule="auto"/>
            </w:pPr>
            <w:r>
              <w:rPr>
                <w:rFonts w:ascii="Calibri" w:hAnsi="Calibri"/>
                <w:b w:val="0"/>
                <w:sz w:val="16"/>
              </w:rPr>
              <w:t>5 / DS-REL-01</w:t>
            </w:r>
          </w:p>
        </w:tc>
        <w:tc>
          <w:tcPr>
            <w:shd w:val="clear" w:color="auto" w:fill="F7F9FC"/>
            <w:tcW w:w="1635" w:type="dxa"/>
          </w:tcPr>
          <w:p>
            <w:pPr>
              <w:spacing w:after="20" w:before="20" w:line="240" w:lineRule="auto"/>
            </w:pPr>
            <w:r>
              <w:rPr>
                <w:rFonts w:ascii="Calibri" w:hAnsi="Calibri"/>
                <w:b w:val="0"/>
                <w:sz w:val="16"/>
              </w:rPr>
              <w:t>App, HTTP layer</w:t>
            </w:r>
          </w:p>
        </w:tc>
        <w:tc>
          <w:tcPr>
            <w:shd w:val="clear" w:color="auto" w:fill="F7F9FC"/>
            <w:tcW w:w="702" w:type="dxa"/>
          </w:tcPr>
          <w:p>
            <w:pPr>
              <w:spacing w:after="20" w:before="20" w:line="240" w:lineRule="auto"/>
            </w:pPr>
            <w:r>
              <w:rPr>
                <w:rFonts w:ascii="Calibri" w:hAnsi="Calibri"/>
                <w:b w:val="0"/>
                <w:sz w:val="16"/>
              </w:rPr>
              <w:t>TC-REL-01</w:t>
            </w:r>
          </w:p>
        </w:tc>
        <w:tc>
          <w:tcPr>
            <w:shd w:val="clear" w:color="auto" w:fill="F7F9FC"/>
            <w:tcW w:w="520" w:type="dxa"/>
          </w:tcPr>
          <w:p>
            <w:pPr>
              <w:spacing w:after="20" w:before="20" w:line="240" w:lineRule="auto"/>
            </w:pPr>
            <w:r>
              <w:rPr>
                <w:rFonts w:ascii="Calibri" w:hAnsi="Calibri"/>
                <w:b w:val="0"/>
                <w:sz w:val="16"/>
              </w:rPr>
              <w:t>P</w:t>
            </w:r>
          </w:p>
        </w:tc>
        <w:tc>
          <w:tcPr>
            <w:shd w:val="clear" w:color="auto" w:fill="F7F9FC"/>
            <w:tcW w:w="2427" w:type="dxa"/>
          </w:tcPr>
          <w:p>
            <w:pPr>
              <w:spacing w:after="20" w:before="20" w:line="240" w:lineRule="auto"/>
            </w:pPr>
            <w:r>
              <w:rPr>
                <w:rFonts w:ascii="Calibri" w:hAnsi="Calibri"/>
                <w:b w:val="0"/>
                <w:sz w:val="16"/>
              </w:rPr>
              <w:t>99.9% availability needs production monitoring</w:t>
            </w:r>
          </w:p>
        </w:tc>
      </w:tr>
      <w:tr>
        <w:tc>
          <w:tcPr>
            <w:tcW w:w="607" w:type="dxa"/>
          </w:tcPr>
          <w:p>
            <w:pPr>
              <w:spacing w:after="20" w:before="20" w:line="240" w:lineRule="auto"/>
            </w:pPr>
            <w:r>
              <w:rPr>
                <w:rFonts w:ascii="Calibri" w:hAnsi="Calibri"/>
                <w:b w:val="0"/>
                <w:sz w:val="16"/>
              </w:rPr>
              <w:t>IT-NF-003</w:t>
            </w:r>
          </w:p>
        </w:tc>
        <w:tc>
          <w:tcPr>
            <w:tcW w:w="2272" w:type="dxa"/>
          </w:tcPr>
          <w:p>
            <w:pPr>
              <w:spacing w:after="20" w:before="20" w:line="240" w:lineRule="auto"/>
            </w:pPr>
            <w:r>
              <w:rPr>
                <w:rFonts w:ascii="Calibri" w:hAnsi="Calibri"/>
                <w:b w:val="0"/>
                <w:sz w:val="16"/>
              </w:rPr>
              <w:t>50k assets / 100k seats</w:t>
            </w:r>
          </w:p>
        </w:tc>
        <w:tc>
          <w:tcPr>
            <w:tcW w:w="1298" w:type="dxa"/>
          </w:tcPr>
          <w:p>
            <w:pPr>
              <w:spacing w:after="20" w:before="20" w:line="240" w:lineRule="auto"/>
            </w:pPr>
            <w:r>
              <w:rPr>
                <w:rFonts w:ascii="Calibri" w:hAnsi="Calibri"/>
                <w:b w:val="0"/>
                <w:sz w:val="16"/>
              </w:rPr>
              <w:t>5 / DS-SCALE-01</w:t>
            </w:r>
          </w:p>
        </w:tc>
        <w:tc>
          <w:tcPr>
            <w:tcW w:w="1635" w:type="dxa"/>
          </w:tcPr>
          <w:p>
            <w:pPr>
              <w:spacing w:after="20" w:before="20" w:line="240" w:lineRule="auto"/>
            </w:pPr>
            <w:r>
              <w:rPr>
                <w:rFonts w:ascii="Calibri" w:hAnsi="Calibri"/>
                <w:b w:val="0"/>
                <w:sz w:val="16"/>
              </w:rPr>
              <w:t>Store indexes</w:t>
            </w:r>
          </w:p>
        </w:tc>
        <w:tc>
          <w:tcPr>
            <w:tcW w:w="702" w:type="dxa"/>
          </w:tcPr>
          <w:p>
            <w:pPr>
              <w:spacing w:after="20" w:before="20" w:line="240" w:lineRule="auto"/>
            </w:pPr>
            <w:r>
              <w:rPr>
                <w:rFonts w:ascii="Calibri" w:hAnsi="Calibri"/>
                <w:b w:val="0"/>
                <w:sz w:val="16"/>
              </w:rPr>
              <w:t>TC-SCALE-01</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p>
        </w:tc>
      </w:tr>
      <w:tr>
        <w:tc>
          <w:tcPr>
            <w:shd w:val="clear" w:color="auto" w:fill="F7F9FC"/>
            <w:tcW w:w="607" w:type="dxa"/>
          </w:tcPr>
          <w:p>
            <w:pPr>
              <w:spacing w:after="20" w:before="20" w:line="240" w:lineRule="auto"/>
            </w:pPr>
            <w:r>
              <w:rPr>
                <w:rFonts w:ascii="Calibri" w:hAnsi="Calibri"/>
                <w:b w:val="0"/>
                <w:sz w:val="16"/>
              </w:rPr>
              <w:t>IT-NF-004</w:t>
            </w:r>
          </w:p>
        </w:tc>
        <w:tc>
          <w:tcPr>
            <w:shd w:val="clear" w:color="auto" w:fill="F7F9FC"/>
            <w:tcW w:w="2272" w:type="dxa"/>
          </w:tcPr>
          <w:p>
            <w:pPr>
              <w:spacing w:after="20" w:before="20" w:line="240" w:lineRule="auto"/>
            </w:pPr>
            <w:r>
              <w:rPr>
                <w:rFonts w:ascii="Calibri" w:hAnsi="Calibri"/>
                <w:b w:val="0"/>
                <w:sz w:val="16"/>
              </w:rPr>
              <w:t>Hash-chained append-only audit trail</w:t>
            </w:r>
          </w:p>
        </w:tc>
        <w:tc>
          <w:tcPr>
            <w:shd w:val="clear" w:color="auto" w:fill="F7F9FC"/>
            <w:tcW w:w="1298" w:type="dxa"/>
          </w:tcPr>
          <w:p>
            <w:pPr>
              <w:spacing w:after="20" w:before="20" w:line="240" w:lineRule="auto"/>
            </w:pPr>
            <w:r>
              <w:rPr>
                <w:rFonts w:ascii="Calibri" w:hAnsi="Calibri"/>
                <w:b w:val="0"/>
                <w:sz w:val="16"/>
              </w:rPr>
              <w:t>5 / DS-AUDIT-01</w:t>
            </w:r>
          </w:p>
        </w:tc>
        <w:tc>
          <w:tcPr>
            <w:shd w:val="clear" w:color="auto" w:fill="F7F9FC"/>
            <w:tcW w:w="1635" w:type="dxa"/>
          </w:tcPr>
          <w:p>
            <w:pPr>
              <w:spacing w:after="20" w:before="20" w:line="240" w:lineRule="auto"/>
            </w:pPr>
            <w:r>
              <w:rPr>
                <w:rFonts w:ascii="Calibri" w:hAnsi="Calibri"/>
                <w:b w:val="0"/>
                <w:sz w:val="16"/>
              </w:rPr>
              <w:t>Audit log</w:t>
            </w:r>
          </w:p>
        </w:tc>
        <w:tc>
          <w:tcPr>
            <w:shd w:val="clear" w:color="auto" w:fill="F7F9FC"/>
            <w:tcW w:w="702" w:type="dxa"/>
          </w:tcPr>
          <w:p>
            <w:pPr>
              <w:spacing w:after="20" w:before="20" w:line="240" w:lineRule="auto"/>
            </w:pPr>
            <w:r>
              <w:rPr>
                <w:rFonts w:ascii="Calibri" w:hAnsi="Calibri"/>
                <w:b w:val="0"/>
                <w:sz w:val="16"/>
              </w:rPr>
              <w:t>TC-AUDIT-01</w:t>
            </w:r>
          </w:p>
        </w:tc>
        <w:tc>
          <w:tcPr>
            <w:shd w:val="clear" w:color="auto" w:fill="F7F9FC"/>
            <w:tcW w:w="520" w:type="dxa"/>
          </w:tcPr>
          <w:p>
            <w:pPr>
              <w:spacing w:after="20" w:before="20" w:line="240" w:lineRule="auto"/>
            </w:pPr>
            <w:r>
              <w:rPr>
                <w:rFonts w:ascii="Calibri" w:hAnsi="Calibri"/>
                <w:b w:val="0"/>
                <w:sz w:val="16"/>
              </w:rPr>
              <w:t>A</w:t>
            </w:r>
          </w:p>
        </w:tc>
        <w:tc>
          <w:tcPr>
            <w:shd w:val="clear" w:color="auto" w:fill="F7F9FC"/>
            <w:tcW w:w="2427" w:type="dxa"/>
          </w:tcPr>
          <w:p>
            <w:pPr>
              <w:spacing w:after="20" w:before="20" w:line="240" w:lineRule="auto"/>
            </w:pPr>
          </w:p>
        </w:tc>
      </w:tr>
      <w:tr>
        <w:tc>
          <w:tcPr>
            <w:tcW w:w="607" w:type="dxa"/>
          </w:tcPr>
          <w:p>
            <w:pPr>
              <w:spacing w:after="20" w:before="20" w:line="240" w:lineRule="auto"/>
            </w:pPr>
            <w:r>
              <w:rPr>
                <w:rFonts w:ascii="Calibri" w:hAnsi="Calibri"/>
                <w:b w:val="0"/>
                <w:sz w:val="16"/>
              </w:rPr>
              <w:t>IT-NF-005</w:t>
            </w:r>
          </w:p>
        </w:tc>
        <w:tc>
          <w:tcPr>
            <w:tcW w:w="2272" w:type="dxa"/>
          </w:tcPr>
          <w:p>
            <w:pPr>
              <w:spacing w:after="20" w:before="20" w:line="240" w:lineRule="auto"/>
            </w:pPr>
            <w:r>
              <w:rPr>
                <w:rFonts w:ascii="Calibri" w:hAnsi="Calibri"/>
                <w:b w:val="0"/>
                <w:sz w:val="16"/>
              </w:rPr>
              <w:t>WCAG 2.1 AA dashboard</w:t>
            </w:r>
          </w:p>
        </w:tc>
        <w:tc>
          <w:tcPr>
            <w:tcW w:w="1298" w:type="dxa"/>
          </w:tcPr>
          <w:p>
            <w:pPr>
              <w:spacing w:after="20" w:before="20" w:line="240" w:lineRule="auto"/>
            </w:pPr>
            <w:r>
              <w:rPr>
                <w:rFonts w:ascii="Calibri" w:hAnsi="Calibri"/>
                <w:b w:val="0"/>
                <w:sz w:val="16"/>
              </w:rPr>
              <w:t>5 / DS-UX-01</w:t>
            </w:r>
          </w:p>
        </w:tc>
        <w:tc>
          <w:tcPr>
            <w:tcW w:w="1635" w:type="dxa"/>
          </w:tcPr>
          <w:p>
            <w:pPr>
              <w:spacing w:after="20" w:before="20" w:line="240" w:lineRule="auto"/>
            </w:pPr>
            <w:r>
              <w:rPr>
                <w:rFonts w:ascii="Calibri" w:hAnsi="Calibri"/>
                <w:b w:val="0"/>
                <w:sz w:val="16"/>
              </w:rPr>
              <w:t>Dashboard</w:t>
            </w:r>
          </w:p>
        </w:tc>
        <w:tc>
          <w:tcPr>
            <w:tcW w:w="702" w:type="dxa"/>
          </w:tcPr>
          <w:p>
            <w:pPr>
              <w:spacing w:after="20" w:before="20" w:line="240" w:lineRule="auto"/>
            </w:pPr>
            <w:r>
              <w:rPr>
                <w:rFonts w:ascii="Calibri" w:hAnsi="Calibri"/>
                <w:b w:val="0"/>
                <w:sz w:val="16"/>
              </w:rPr>
              <w:t>TC-UX-01</w:t>
            </w:r>
          </w:p>
        </w:tc>
        <w:tc>
          <w:tcPr>
            <w:tcW w:w="520" w:type="dxa"/>
          </w:tcPr>
          <w:p>
            <w:pPr>
              <w:spacing w:after="20" w:before="20" w:line="240" w:lineRule="auto"/>
            </w:pPr>
            <w:r>
              <w:rPr>
                <w:rFonts w:ascii="Calibri" w:hAnsi="Calibri"/>
                <w:b w:val="0"/>
                <w:sz w:val="16"/>
              </w:rPr>
              <w:t>P</w:t>
            </w:r>
          </w:p>
        </w:tc>
        <w:tc>
          <w:tcPr>
            <w:tcW w:w="2427" w:type="dxa"/>
          </w:tcPr>
          <w:p>
            <w:pPr>
              <w:spacing w:after="20" w:before="20" w:line="240" w:lineRule="auto"/>
            </w:pPr>
            <w:r>
              <w:rPr>
                <w:rFonts w:ascii="Calibri" w:hAnsi="Calibri"/>
                <w:b w:val="0"/>
                <w:sz w:val="16"/>
              </w:rPr>
              <w:t>Automated checks pass; manual screen-reader review planned for UAT</w:t>
            </w:r>
          </w:p>
        </w:tc>
      </w:tr>
      <w:tr>
        <w:tc>
          <w:tcPr>
            <w:shd w:val="clear" w:color="auto" w:fill="F7F9FC"/>
            <w:tcW w:w="607" w:type="dxa"/>
          </w:tcPr>
          <w:p>
            <w:pPr>
              <w:spacing w:after="20" w:before="20" w:line="240" w:lineRule="auto"/>
            </w:pPr>
            <w:r>
              <w:rPr>
                <w:rFonts w:ascii="Calibri" w:hAnsi="Calibri"/>
                <w:b w:val="0"/>
                <w:sz w:val="16"/>
              </w:rPr>
              <w:t>IT-NF-006</w:t>
            </w:r>
          </w:p>
        </w:tc>
        <w:tc>
          <w:tcPr>
            <w:shd w:val="clear" w:color="auto" w:fill="F7F9FC"/>
            <w:tcW w:w="2272" w:type="dxa"/>
          </w:tcPr>
          <w:p>
            <w:pPr>
              <w:spacing w:after="20" w:before="20" w:line="240" w:lineRule="auto"/>
            </w:pPr>
            <w:r>
              <w:rPr>
                <w:rFonts w:ascii="Calibri" w:hAnsi="Calibri"/>
                <w:b w:val="0"/>
                <w:sz w:val="16"/>
              </w:rPr>
              <w:t>RPO at most 1 s, RTO at most 2 h</w:t>
            </w:r>
          </w:p>
        </w:tc>
        <w:tc>
          <w:tcPr>
            <w:shd w:val="clear" w:color="auto" w:fill="F7F9FC"/>
            <w:tcW w:w="1298" w:type="dxa"/>
          </w:tcPr>
          <w:p>
            <w:pPr>
              <w:spacing w:after="20" w:before="20" w:line="240" w:lineRule="auto"/>
            </w:pPr>
            <w:r>
              <w:rPr>
                <w:rFonts w:ascii="Calibri" w:hAnsi="Calibri"/>
                <w:b w:val="0"/>
                <w:sz w:val="16"/>
              </w:rPr>
              <w:t>5 / DS-DR-01</w:t>
            </w:r>
          </w:p>
        </w:tc>
        <w:tc>
          <w:tcPr>
            <w:shd w:val="clear" w:color="auto" w:fill="F7F9FC"/>
            <w:tcW w:w="1635" w:type="dxa"/>
          </w:tcPr>
          <w:p>
            <w:pPr>
              <w:spacing w:after="20" w:before="20" w:line="240" w:lineRule="auto"/>
            </w:pPr>
            <w:r>
              <w:rPr>
                <w:rFonts w:ascii="Calibri" w:hAnsi="Calibri"/>
                <w:b w:val="0"/>
                <w:sz w:val="16"/>
              </w:rPr>
              <w:t>Store, Backup</w:t>
            </w:r>
          </w:p>
        </w:tc>
        <w:tc>
          <w:tcPr>
            <w:shd w:val="clear" w:color="auto" w:fill="F7F9FC"/>
            <w:tcW w:w="702" w:type="dxa"/>
          </w:tcPr>
          <w:p>
            <w:pPr>
              <w:spacing w:after="20" w:before="20" w:line="240" w:lineRule="auto"/>
            </w:pPr>
            <w:r>
              <w:rPr>
                <w:rFonts w:ascii="Calibri" w:hAnsi="Calibri"/>
                <w:b w:val="0"/>
                <w:sz w:val="16"/>
              </w:rPr>
              <w:t>TC-DR-01</w:t>
            </w:r>
          </w:p>
        </w:tc>
        <w:tc>
          <w:tcPr>
            <w:shd w:val="clear" w:color="auto" w:fill="F7F9FC"/>
            <w:tcW w:w="520" w:type="dxa"/>
          </w:tcPr>
          <w:p>
            <w:pPr>
              <w:spacing w:after="20" w:before="20" w:line="240" w:lineRule="auto"/>
            </w:pPr>
            <w:r>
              <w:rPr>
                <w:rFonts w:ascii="Calibri" w:hAnsi="Calibri"/>
                <w:b w:val="0"/>
                <w:sz w:val="16"/>
              </w:rPr>
              <w:t>A</w:t>
            </w:r>
          </w:p>
        </w:tc>
        <w:tc>
          <w:tcPr>
            <w:shd w:val="clear" w:color="auto" w:fill="F7F9FC"/>
            <w:tcW w:w="2427" w:type="dxa"/>
          </w:tcPr>
          <w:p>
            <w:pPr>
              <w:spacing w:after="20" w:before="20" w:line="240" w:lineRule="auto"/>
            </w:pPr>
          </w:p>
        </w:tc>
      </w:tr>
      <w:tr>
        <w:tc>
          <w:tcPr>
            <w:tcW w:w="607" w:type="dxa"/>
          </w:tcPr>
          <w:p>
            <w:pPr>
              <w:spacing w:after="20" w:before="20" w:line="240" w:lineRule="auto"/>
            </w:pPr>
            <w:r>
              <w:rPr>
                <w:rFonts w:ascii="Calibri" w:hAnsi="Calibri"/>
                <w:b w:val="0"/>
                <w:sz w:val="16"/>
              </w:rPr>
              <w:t>PRJ-SR-001</w:t>
            </w:r>
          </w:p>
        </w:tc>
        <w:tc>
          <w:tcPr>
            <w:tcW w:w="2272" w:type="dxa"/>
          </w:tcPr>
          <w:p>
            <w:pPr>
              <w:spacing w:after="20" w:before="20" w:line="240" w:lineRule="auto"/>
            </w:pPr>
            <w:r>
              <w:rPr>
                <w:rFonts w:ascii="Calibri" w:hAnsi="Calibri"/>
                <w:b w:val="0"/>
                <w:sz w:val="16"/>
              </w:rPr>
              <w:t>TLS 1.3, HSTS, HTTP redirect</w:t>
            </w:r>
          </w:p>
        </w:tc>
        <w:tc>
          <w:tcPr>
            <w:tcW w:w="1298" w:type="dxa"/>
          </w:tcPr>
          <w:p>
            <w:pPr>
              <w:spacing w:after="20" w:before="20" w:line="240" w:lineRule="auto"/>
            </w:pPr>
            <w:r>
              <w:rPr>
                <w:rFonts w:ascii="Calibri" w:hAnsi="Calibri"/>
                <w:b w:val="0"/>
                <w:sz w:val="16"/>
              </w:rPr>
              <w:t>5.1 / DS-SEC-01</w:t>
            </w:r>
          </w:p>
        </w:tc>
        <w:tc>
          <w:tcPr>
            <w:tcW w:w="1635" w:type="dxa"/>
          </w:tcPr>
          <w:p>
            <w:pPr>
              <w:spacing w:after="20" w:before="20" w:line="240" w:lineRule="auto"/>
            </w:pPr>
            <w:r>
              <w:rPr>
                <w:rFonts w:ascii="Calibri" w:hAnsi="Calibri"/>
                <w:b w:val="0"/>
                <w:sz w:val="16"/>
              </w:rPr>
              <w:t>App (HTTPS server)</w:t>
            </w:r>
          </w:p>
        </w:tc>
        <w:tc>
          <w:tcPr>
            <w:tcW w:w="702" w:type="dxa"/>
          </w:tcPr>
          <w:p>
            <w:pPr>
              <w:spacing w:after="20" w:before="20" w:line="240" w:lineRule="auto"/>
            </w:pPr>
            <w:r>
              <w:rPr>
                <w:rFonts w:ascii="Calibri" w:hAnsi="Calibri"/>
                <w:b w:val="0"/>
                <w:sz w:val="16"/>
              </w:rPr>
              <w:t>TC-SEC-01</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r>
              <w:rPr>
                <w:rFonts w:ascii="Calibri" w:hAnsi="Calibri"/>
                <w:b w:val="0"/>
                <w:sz w:val="16"/>
              </w:rPr>
              <w:t xml:space="preserve">Test needs </w:t>
            </w:r>
            <w:r>
              <w:rPr>
                <w:rFonts w:ascii="Consolas" w:hAnsi="Consolas" w:eastAsia="Consolas"/>
                <w:b w:val="0"/>
                <w:sz w:val="15"/>
              </w:rPr>
              <w:t>openssl</w:t>
            </w:r>
            <w:r>
              <w:rPr>
                <w:rFonts w:ascii="Calibri" w:hAnsi="Calibri"/>
                <w:b w:val="0"/>
                <w:sz w:val="16"/>
              </w:rPr>
              <w:t>; available on CI runners</w:t>
            </w:r>
          </w:p>
        </w:tc>
      </w:tr>
      <w:tr>
        <w:tc>
          <w:tcPr>
            <w:shd w:val="clear" w:color="auto" w:fill="F7F9FC"/>
            <w:tcW w:w="607" w:type="dxa"/>
          </w:tcPr>
          <w:p>
            <w:pPr>
              <w:spacing w:after="20" w:before="20" w:line="240" w:lineRule="auto"/>
            </w:pPr>
            <w:r>
              <w:rPr>
                <w:rFonts w:ascii="Calibri" w:hAnsi="Calibri"/>
                <w:b w:val="0"/>
                <w:sz w:val="16"/>
              </w:rPr>
              <w:t>PRJ-SR-002</w:t>
            </w:r>
          </w:p>
        </w:tc>
        <w:tc>
          <w:tcPr>
            <w:shd w:val="clear" w:color="auto" w:fill="F7F9FC"/>
            <w:tcW w:w="2272" w:type="dxa"/>
          </w:tcPr>
          <w:p>
            <w:pPr>
              <w:spacing w:after="20" w:before="20" w:line="240" w:lineRule="auto"/>
            </w:pPr>
            <w:r>
              <w:rPr>
                <w:rFonts w:ascii="Calibri" w:hAnsi="Calibri"/>
                <w:b w:val="0"/>
                <w:sz w:val="16"/>
              </w:rPr>
              <w:t>JWT authentication and RBAC</w:t>
            </w:r>
          </w:p>
        </w:tc>
        <w:tc>
          <w:tcPr>
            <w:shd w:val="clear" w:color="auto" w:fill="F7F9FC"/>
            <w:tcW w:w="1298" w:type="dxa"/>
          </w:tcPr>
          <w:p>
            <w:pPr>
              <w:spacing w:after="20" w:before="20" w:line="240" w:lineRule="auto"/>
            </w:pPr>
            <w:r>
              <w:rPr>
                <w:rFonts w:ascii="Calibri" w:hAnsi="Calibri"/>
                <w:b w:val="0"/>
                <w:sz w:val="16"/>
              </w:rPr>
              <w:t>5.1 / DS-SEC-02</w:t>
            </w:r>
          </w:p>
        </w:tc>
        <w:tc>
          <w:tcPr>
            <w:shd w:val="clear" w:color="auto" w:fill="F7F9FC"/>
            <w:tcW w:w="1635" w:type="dxa"/>
          </w:tcPr>
          <w:p>
            <w:pPr>
              <w:spacing w:after="20" w:before="20" w:line="240" w:lineRule="auto"/>
            </w:pPr>
            <w:r>
              <w:rPr>
                <w:rFonts w:ascii="Calibri" w:hAnsi="Calibri"/>
                <w:b w:val="0"/>
                <w:sz w:val="16"/>
              </w:rPr>
              <w:t>User service, RBAC</w:t>
            </w:r>
          </w:p>
        </w:tc>
        <w:tc>
          <w:tcPr>
            <w:shd w:val="clear" w:color="auto" w:fill="F7F9FC"/>
            <w:tcW w:w="702" w:type="dxa"/>
          </w:tcPr>
          <w:p>
            <w:pPr>
              <w:spacing w:after="20" w:before="20" w:line="240" w:lineRule="auto"/>
            </w:pPr>
            <w:r>
              <w:rPr>
                <w:rFonts w:ascii="Calibri" w:hAnsi="Calibri"/>
                <w:b w:val="0"/>
                <w:sz w:val="16"/>
              </w:rPr>
              <w:t>TC-SEC-02</w:t>
            </w:r>
          </w:p>
        </w:tc>
        <w:tc>
          <w:tcPr>
            <w:shd w:val="clear" w:color="auto" w:fill="F7F9FC"/>
            <w:tcW w:w="520" w:type="dxa"/>
          </w:tcPr>
          <w:p>
            <w:pPr>
              <w:spacing w:after="20" w:before="20" w:line="240" w:lineRule="auto"/>
            </w:pPr>
            <w:r>
              <w:rPr>
                <w:rFonts w:ascii="Calibri" w:hAnsi="Calibri"/>
                <w:b w:val="0"/>
                <w:sz w:val="16"/>
              </w:rPr>
              <w:t>A</w:t>
            </w:r>
          </w:p>
        </w:tc>
        <w:tc>
          <w:tcPr>
            <w:shd w:val="clear" w:color="auto" w:fill="F7F9FC"/>
            <w:tcW w:w="2427" w:type="dxa"/>
          </w:tcPr>
          <w:p>
            <w:pPr>
              <w:spacing w:after="20" w:before="20" w:line="240" w:lineRule="auto"/>
            </w:pPr>
          </w:p>
        </w:tc>
      </w:tr>
      <w:tr>
        <w:tc>
          <w:tcPr>
            <w:tcW w:w="607" w:type="dxa"/>
          </w:tcPr>
          <w:p>
            <w:pPr>
              <w:spacing w:after="20" w:before="20" w:line="240" w:lineRule="auto"/>
            </w:pPr>
            <w:r>
              <w:rPr>
                <w:rFonts w:ascii="Calibri" w:hAnsi="Calibri"/>
                <w:b w:val="0"/>
                <w:sz w:val="16"/>
              </w:rPr>
              <w:t>PRJ-SR-003</w:t>
            </w:r>
          </w:p>
        </w:tc>
        <w:tc>
          <w:tcPr>
            <w:tcW w:w="2272" w:type="dxa"/>
          </w:tcPr>
          <w:p>
            <w:pPr>
              <w:spacing w:after="20" w:before="20" w:line="240" w:lineRule="auto"/>
            </w:pPr>
            <w:r>
              <w:rPr>
                <w:rFonts w:ascii="Calibri" w:hAnsi="Calibri"/>
                <w:b w:val="0"/>
                <w:sz w:val="16"/>
              </w:rPr>
              <w:t>Encrypted, masked product keys</w:t>
            </w:r>
          </w:p>
        </w:tc>
        <w:tc>
          <w:tcPr>
            <w:tcW w:w="1298" w:type="dxa"/>
          </w:tcPr>
          <w:p>
            <w:pPr>
              <w:spacing w:after="20" w:before="20" w:line="240" w:lineRule="auto"/>
            </w:pPr>
            <w:r>
              <w:rPr>
                <w:rFonts w:ascii="Calibri" w:hAnsi="Calibri"/>
                <w:b w:val="0"/>
                <w:sz w:val="16"/>
              </w:rPr>
              <w:t>5.1 / DS-SEC-03</w:t>
            </w:r>
          </w:p>
        </w:tc>
        <w:tc>
          <w:tcPr>
            <w:tcW w:w="1635" w:type="dxa"/>
          </w:tcPr>
          <w:p>
            <w:pPr>
              <w:spacing w:after="20" w:before="20" w:line="240" w:lineRule="auto"/>
            </w:pPr>
            <w:r>
              <w:rPr>
                <w:rFonts w:ascii="Calibri" w:hAnsi="Calibri"/>
                <w:b w:val="0"/>
                <w:sz w:val="16"/>
              </w:rPr>
              <w:t>Vault, License service</w:t>
            </w:r>
          </w:p>
        </w:tc>
        <w:tc>
          <w:tcPr>
            <w:tcW w:w="702" w:type="dxa"/>
          </w:tcPr>
          <w:p>
            <w:pPr>
              <w:spacing w:after="20" w:before="20" w:line="240" w:lineRule="auto"/>
            </w:pPr>
            <w:r>
              <w:rPr>
                <w:rFonts w:ascii="Calibri" w:hAnsi="Calibri"/>
                <w:b w:val="0"/>
                <w:sz w:val="16"/>
              </w:rPr>
              <w:t>TC-SEC-03</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p>
        </w:tc>
      </w:tr>
      <w:tr>
        <w:tc>
          <w:tcPr>
            <w:shd w:val="clear" w:color="auto" w:fill="F7F9FC"/>
            <w:tcW w:w="607" w:type="dxa"/>
          </w:tcPr>
          <w:p>
            <w:pPr>
              <w:spacing w:after="20" w:before="20" w:line="240" w:lineRule="auto"/>
            </w:pPr>
            <w:r>
              <w:rPr>
                <w:rFonts w:ascii="Calibri" w:hAnsi="Calibri"/>
                <w:b w:val="0"/>
                <w:sz w:val="16"/>
              </w:rPr>
              <w:t>PRJ-SR-004</w:t>
            </w:r>
          </w:p>
        </w:tc>
        <w:tc>
          <w:tcPr>
            <w:shd w:val="clear" w:color="auto" w:fill="F7F9FC"/>
            <w:tcW w:w="2272" w:type="dxa"/>
          </w:tcPr>
          <w:p>
            <w:pPr>
              <w:spacing w:after="20" w:before="20" w:line="240" w:lineRule="auto"/>
            </w:pPr>
            <w:r>
              <w:rPr>
                <w:rFonts w:ascii="Calibri" w:hAnsi="Calibri"/>
                <w:b w:val="0"/>
                <w:sz w:val="16"/>
              </w:rPr>
              <w:t>Input validation and hardening headers</w:t>
            </w:r>
          </w:p>
        </w:tc>
        <w:tc>
          <w:tcPr>
            <w:shd w:val="clear" w:color="auto" w:fill="F7F9FC"/>
            <w:tcW w:w="1298" w:type="dxa"/>
          </w:tcPr>
          <w:p>
            <w:pPr>
              <w:spacing w:after="20" w:before="20" w:line="240" w:lineRule="auto"/>
            </w:pPr>
            <w:r>
              <w:rPr>
                <w:rFonts w:ascii="Calibri" w:hAnsi="Calibri"/>
                <w:b w:val="0"/>
                <w:sz w:val="16"/>
              </w:rPr>
              <w:t>5.1 / DS-SEC-04</w:t>
            </w:r>
          </w:p>
        </w:tc>
        <w:tc>
          <w:tcPr>
            <w:shd w:val="clear" w:color="auto" w:fill="F7F9FC"/>
            <w:tcW w:w="1635" w:type="dxa"/>
          </w:tcPr>
          <w:p>
            <w:pPr>
              <w:spacing w:after="20" w:before="20" w:line="240" w:lineRule="auto"/>
            </w:pPr>
            <w:r>
              <w:rPr>
                <w:rFonts w:ascii="Calibri" w:hAnsi="Calibri"/>
                <w:b w:val="0"/>
                <w:sz w:val="16"/>
              </w:rPr>
              <w:t>Validator, HTTP layer, Dashboard</w:t>
            </w:r>
          </w:p>
        </w:tc>
        <w:tc>
          <w:tcPr>
            <w:shd w:val="clear" w:color="auto" w:fill="F7F9FC"/>
            <w:tcW w:w="702" w:type="dxa"/>
          </w:tcPr>
          <w:p>
            <w:pPr>
              <w:spacing w:after="20" w:before="20" w:line="240" w:lineRule="auto"/>
            </w:pPr>
            <w:r>
              <w:rPr>
                <w:rFonts w:ascii="Calibri" w:hAnsi="Calibri"/>
                <w:b w:val="0"/>
                <w:sz w:val="16"/>
              </w:rPr>
              <w:t>TC-SEC-04</w:t>
            </w:r>
          </w:p>
        </w:tc>
        <w:tc>
          <w:tcPr>
            <w:shd w:val="clear" w:color="auto" w:fill="F7F9FC"/>
            <w:tcW w:w="520" w:type="dxa"/>
          </w:tcPr>
          <w:p>
            <w:pPr>
              <w:spacing w:after="20" w:before="20" w:line="240" w:lineRule="auto"/>
            </w:pPr>
            <w:r>
              <w:rPr>
                <w:rFonts w:ascii="Calibri" w:hAnsi="Calibri"/>
                <w:b w:val="0"/>
                <w:sz w:val="16"/>
              </w:rPr>
              <w:t>A</w:t>
            </w:r>
          </w:p>
        </w:tc>
        <w:tc>
          <w:tcPr>
            <w:shd w:val="clear" w:color="auto" w:fill="F7F9FC"/>
            <w:tcW w:w="2427" w:type="dxa"/>
          </w:tcPr>
          <w:p>
            <w:pPr>
              <w:spacing w:after="20" w:before="20" w:line="240" w:lineRule="auto"/>
            </w:pPr>
          </w:p>
        </w:tc>
      </w:tr>
      <w:tr>
        <w:tc>
          <w:tcPr>
            <w:tcW w:w="607" w:type="dxa"/>
          </w:tcPr>
          <w:p>
            <w:pPr>
              <w:spacing w:after="20" w:before="20" w:line="240" w:lineRule="auto"/>
            </w:pPr>
            <w:r>
              <w:rPr>
                <w:rFonts w:ascii="Calibri" w:hAnsi="Calibri"/>
                <w:b w:val="0"/>
                <w:sz w:val="16"/>
              </w:rPr>
              <w:t>PRJ-SR-005</w:t>
            </w:r>
          </w:p>
        </w:tc>
        <w:tc>
          <w:tcPr>
            <w:tcW w:w="2272" w:type="dxa"/>
          </w:tcPr>
          <w:p>
            <w:pPr>
              <w:spacing w:after="20" w:before="20" w:line="240" w:lineRule="auto"/>
            </w:pPr>
            <w:r>
              <w:rPr>
                <w:rFonts w:ascii="Calibri" w:hAnsi="Calibri"/>
                <w:b w:val="0"/>
                <w:sz w:val="16"/>
              </w:rPr>
              <w:t>Login lockout and rate limiting</w:t>
            </w:r>
          </w:p>
        </w:tc>
        <w:tc>
          <w:tcPr>
            <w:tcW w:w="1298" w:type="dxa"/>
          </w:tcPr>
          <w:p>
            <w:pPr>
              <w:spacing w:after="20" w:before="20" w:line="240" w:lineRule="auto"/>
            </w:pPr>
            <w:r>
              <w:rPr>
                <w:rFonts w:ascii="Calibri" w:hAnsi="Calibri"/>
                <w:b w:val="0"/>
                <w:sz w:val="16"/>
              </w:rPr>
              <w:t>5.1 / DS-SEC-05</w:t>
            </w:r>
          </w:p>
        </w:tc>
        <w:tc>
          <w:tcPr>
            <w:tcW w:w="1635" w:type="dxa"/>
          </w:tcPr>
          <w:p>
            <w:pPr>
              <w:spacing w:after="20" w:before="20" w:line="240" w:lineRule="auto"/>
            </w:pPr>
            <w:r>
              <w:rPr>
                <w:rFonts w:ascii="Calibri" w:hAnsi="Calibri"/>
                <w:b w:val="0"/>
                <w:sz w:val="16"/>
              </w:rPr>
              <w:t>Rate limiter, User service</w:t>
            </w:r>
          </w:p>
        </w:tc>
        <w:tc>
          <w:tcPr>
            <w:tcW w:w="702" w:type="dxa"/>
          </w:tcPr>
          <w:p>
            <w:pPr>
              <w:spacing w:after="20" w:before="20" w:line="240" w:lineRule="auto"/>
            </w:pPr>
            <w:r>
              <w:rPr>
                <w:rFonts w:ascii="Calibri" w:hAnsi="Calibri"/>
                <w:b w:val="0"/>
                <w:sz w:val="16"/>
              </w:rPr>
              <w:t>TC-SEC-05</w:t>
            </w:r>
          </w:p>
        </w:tc>
        <w:tc>
          <w:tcPr>
            <w:tcW w:w="520" w:type="dxa"/>
          </w:tcPr>
          <w:p>
            <w:pPr>
              <w:spacing w:after="20" w:before="20" w:line="240" w:lineRule="auto"/>
            </w:pPr>
            <w:r>
              <w:rPr>
                <w:rFonts w:ascii="Calibri" w:hAnsi="Calibri"/>
                <w:b w:val="0"/>
                <w:sz w:val="16"/>
              </w:rPr>
              <w:t>A</w:t>
            </w:r>
          </w:p>
        </w:tc>
        <w:tc>
          <w:tcPr>
            <w:tcW w:w="2427" w:type="dxa"/>
          </w:tcPr>
          <w:p>
            <w:pPr>
              <w:spacing w:after="20" w:before="20" w:line="240" w:lineRule="auto"/>
            </w:pPr>
          </w:p>
        </w:tc>
      </w:tr>
    </w:tbl>
    <w:p>
      <w:pPr>
        <w:spacing w:after="80"/>
      </w:pPr>
    </w:p>
    <w:sectPr w:rsidR="00FC693F" w:rsidRPr="0006063C" w:rsidSect="00034616">
      <w:headerReference w:type="default" r:id="rId10"/>
      <w:footerReference w:type="default" r:id="rId11"/>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A78"/>
        <w:sz w:val="17"/>
      </w:rPr>
      <w:t xml:space="preserve">SRS v2.0 — Team 03    |    Page </w:t>
    </w:r>
    <w:r>
      <w:rPr>
        <w:color w:val="606A78"/>
        <w:sz w:val="17"/>
      </w:rPr>
      <w:fldChar w:fldCharType="begin"/>
    </w:r>
    <w:r>
      <w:rPr>
        <w:color w:val="606A78"/>
        <w:sz w:val="17"/>
      </w:rPr>
      <w:instrText xml:space="preserve"> PAGE </w:instrText>
    </w:r>
    <w:r>
      <w:rPr>
        <w:color w:val="606A78"/>
        <w:sz w:val="17"/>
      </w:rPr>
      <w:fldChar w:fldCharType="separate"/>
    </w:r>
    <w:r>
      <w:rPr>
        <w:color w:val="606A78"/>
        <w:sz w:val="17"/>
      </w:rPr>
      <w:t>1</w:t>
    </w:r>
    <w:r>
      <w:rPr>
        <w:color w:val="606A78"/>
        <w:sz w:val="17"/>
      </w:rPr>
      <w:fldChar w:fldCharType="end"/>
    </w:r>
    <w:r>
      <w:rPr>
        <w:color w:val="606A78"/>
        <w:sz w:val="17"/>
      </w:rPr>
      <w:t xml:space="preserve"> of </w:t>
    </w:r>
    <w:r>
      <w:rPr>
        <w:color w:val="606A78"/>
        <w:sz w:val="17"/>
      </w:rPr>
      <w:fldChar w:fldCharType="begin"/>
    </w:r>
    <w:r>
      <w:rPr>
        <w:color w:val="606A78"/>
        <w:sz w:val="17"/>
      </w:rPr>
      <w:instrText xml:space="preserve"> NUMPAGES </w:instrText>
    </w:r>
    <w:r>
      <w:rPr>
        <w:color w:val="606A78"/>
        <w:sz w:val="17"/>
      </w:rPr>
      <w:fldChar w:fldCharType="separate"/>
    </w:r>
    <w:r>
      <w:rPr>
        <w:color w:val="606A78"/>
        <w:sz w:val="17"/>
      </w:rPr>
      <w:t>1</w:t>
    </w:r>
    <w:r>
      <w:rPr>
        <w:color w:val="606A78"/>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D"/>
      </w:pBdr>
    </w:pPr>
    <w:r>
      <w:rPr>
        <w:color w:val="606A78"/>
        <w:sz w:val="17"/>
      </w:rPr>
      <w:t>IT Infrastructure Management Software — Software Requirements Specification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Calibri" w:hAnsi="Calibri"/>
      <w:b/>
      <w:bCs/>
      <w:i/>
      <w:iCs/>
      <w:color w:val="1F3B6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3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E-Project-2026-B-sec/Team-03---IT-infrastructure-management-software"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