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rPr>
          <w:sz w:val="44"/>
        </w:rPr>
        <w:t>Software Architecture and Design Specification</w:t>
      </w:r>
    </w:p>
    <w:p>
      <w:r>
        <w:rPr>
          <w:i w:val="0"/>
        </w:rPr>
        <w:t>Project: Customer Relationship Management: Reach, Acquire, Convert, Retain and Loyalty (CRM-RACRL)</w:t>
      </w:r>
    </w:p>
    <w:p>
      <w:r>
        <w:rPr>
          <w:i w:val="0"/>
        </w:rPr>
        <w:t>Version: 1.0</w:t>
      </w:r>
    </w:p>
    <w:p>
      <w:r>
        <w:rPr>
          <w:i w:val="0"/>
        </w:rPr>
        <w:t>Authors: Balla Santhosh, Dhriti Kamani, Disha Lokesh, Diya Agarwal (Section B, PES University RR Campus)</w:t>
      </w:r>
    </w:p>
    <w:p>
      <w:r>
        <w:rPr>
          <w:i w:val="0"/>
        </w:rPr>
        <w:t>Date: 27-10-2026</w:t>
      </w:r>
    </w:p>
    <w:p>
      <w:r>
        <w:rPr>
          <w:i w:val="0"/>
        </w:rPr>
        <w:t>Status: Submitted for review (baseline before Sprint 1)</w:t>
      </w:r>
    </w:p>
    <w:p>
      <w:pPr>
        <w:pStyle w:val="Heading1"/>
        <w:keepNext/>
      </w:pPr>
      <w:r>
        <w:t>Revision History</w:t>
      </w:r>
    </w:p>
    <w:tbl>
      <w:tblPr>
        <w:tblW w:w="86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80" w:type="dxa"/>
          <w:right w:w="80" w:type="dxa"/>
        </w:tblCellMar>
        <w:tblLook w:val="0400"/>
      </w:tblPr>
      <w:tblGrid>
        <w:gridCol w:w="1136"/>
        <w:gridCol w:w="1477"/>
        <w:gridCol w:w="1477"/>
        <w:gridCol w:w="4550"/>
      </w:tblGrid>
      <w:tr>
        <w:trPr>
          <w:tblHeader/>
        </w:trPr>
        <w:tc>
          <w:tcPr>
            <w:tcW w:w="1136" w:type="dxa"/>
            <w:shd w:val="clear" w:color="auto" w:fill="D9D9D9"/>
          </w:tcPr>
          <w:p>
            <w:pPr>
              <w:spacing w:after="0" w:before="0" w:line="240" w:lineRule="auto"/>
            </w:pPr>
            <w:r>
              <w:rPr>
                <w:b/>
                <w:sz w:val="20"/>
              </w:rPr>
              <w:t>Version</w:t>
            </w:r>
          </w:p>
        </w:tc>
        <w:tc>
          <w:tcPr>
            <w:tcW w:w="1477" w:type="dxa"/>
            <w:shd w:val="clear" w:color="auto" w:fill="D9D9D9"/>
          </w:tcPr>
          <w:p>
            <w:pPr>
              <w:spacing w:after="0" w:before="0" w:line="240" w:lineRule="auto"/>
            </w:pPr>
            <w:r>
              <w:rPr>
                <w:b/>
                <w:sz w:val="20"/>
              </w:rPr>
              <w:t>Date</w:t>
            </w:r>
          </w:p>
        </w:tc>
        <w:tc>
          <w:tcPr>
            <w:tcW w:w="1477" w:type="dxa"/>
            <w:shd w:val="clear" w:color="auto" w:fill="D9D9D9"/>
          </w:tcPr>
          <w:p>
            <w:pPr>
              <w:spacing w:after="0" w:before="0" w:line="240" w:lineRule="auto"/>
            </w:pPr>
            <w:r>
              <w:rPr>
                <w:b/>
                <w:sz w:val="20"/>
              </w:rPr>
              <w:t>Author</w:t>
            </w:r>
          </w:p>
        </w:tc>
        <w:tc>
          <w:tcPr>
            <w:tcW w:w="4550" w:type="dxa"/>
            <w:shd w:val="clear" w:color="auto" w:fill="D9D9D9"/>
          </w:tcPr>
          <w:p>
            <w:pPr>
              <w:spacing w:after="0" w:before="0" w:line="240" w:lineRule="auto"/>
            </w:pPr>
            <w:r>
              <w:rPr>
                <w:b/>
                <w:sz w:val="20"/>
              </w:rPr>
              <w:t>Change Summary</w:t>
            </w:r>
          </w:p>
        </w:tc>
      </w:tr>
      <w:tr>
        <w:tc>
          <w:tcPr>
            <w:tcW w:w="1136" w:type="dxa"/>
          </w:tcPr>
          <w:p>
            <w:pPr>
              <w:spacing w:after="0" w:before="0" w:line="240" w:lineRule="auto"/>
            </w:pPr>
            <w:r>
              <w:rPr>
                <w:b w:val="0"/>
                <w:sz w:val="20"/>
              </w:rPr>
              <w:t>0.1</w:t>
            </w:r>
          </w:p>
        </w:tc>
        <w:tc>
          <w:tcPr>
            <w:tcW w:w="1477" w:type="dxa"/>
          </w:tcPr>
          <w:p>
            <w:pPr>
              <w:spacing w:after="0" w:before="0" w:line="240" w:lineRule="auto"/>
            </w:pPr>
            <w:r>
              <w:rPr>
                <w:b w:val="0"/>
                <w:sz w:val="20"/>
              </w:rPr>
              <w:t>22-10-2026</w:t>
            </w:r>
          </w:p>
        </w:tc>
        <w:tc>
          <w:tcPr>
            <w:tcW w:w="1477" w:type="dxa"/>
          </w:tcPr>
          <w:p>
            <w:pPr>
              <w:spacing w:after="0" w:before="0" w:line="240" w:lineRule="auto"/>
            </w:pPr>
            <w:r>
              <w:rPr>
                <w:b w:val="0"/>
                <w:sz w:val="20"/>
              </w:rPr>
              <w:t>Team</w:t>
            </w:r>
          </w:p>
        </w:tc>
        <w:tc>
          <w:tcPr>
            <w:tcW w:w="4550" w:type="dxa"/>
          </w:tcPr>
          <w:p>
            <w:pPr>
              <w:spacing w:after="0" w:before="0" w:line="240" w:lineRule="auto"/>
            </w:pPr>
            <w:r>
              <w:rPr>
                <w:b w:val="0"/>
                <w:sz w:val="20"/>
              </w:rPr>
              <w:t>Architecture options and stack selection</w:t>
            </w:r>
          </w:p>
        </w:tc>
      </w:tr>
      <w:tr>
        <w:tc>
          <w:tcPr>
            <w:tcW w:w="1136" w:type="dxa"/>
          </w:tcPr>
          <w:p>
            <w:pPr>
              <w:spacing w:after="0" w:before="0" w:line="240" w:lineRule="auto"/>
            </w:pPr>
            <w:r>
              <w:rPr>
                <w:b w:val="0"/>
                <w:sz w:val="20"/>
              </w:rPr>
              <w:t>1.0</w:t>
            </w:r>
          </w:p>
        </w:tc>
        <w:tc>
          <w:tcPr>
            <w:tcW w:w="1477" w:type="dxa"/>
          </w:tcPr>
          <w:p>
            <w:pPr>
              <w:spacing w:after="0" w:before="0" w:line="240" w:lineRule="auto"/>
            </w:pPr>
            <w:r>
              <w:rPr>
                <w:b w:val="0"/>
                <w:sz w:val="20"/>
              </w:rPr>
              <w:t>27-10-2026</w:t>
            </w:r>
          </w:p>
        </w:tc>
        <w:tc>
          <w:tcPr>
            <w:tcW w:w="1477" w:type="dxa"/>
          </w:tcPr>
          <w:p>
            <w:pPr>
              <w:spacing w:after="0" w:before="0" w:line="240" w:lineRule="auto"/>
            </w:pPr>
            <w:r>
              <w:rPr>
                <w:b w:val="0"/>
                <w:sz w:val="20"/>
              </w:rPr>
              <w:t>Team</w:t>
            </w:r>
          </w:p>
        </w:tc>
        <w:tc>
          <w:tcPr>
            <w:tcW w:w="4550" w:type="dxa"/>
          </w:tcPr>
          <w:p>
            <w:pPr>
              <w:spacing w:after="0" w:before="0" w:line="240" w:lineRule="auto"/>
            </w:pPr>
            <w:r>
              <w:rPr>
                <w:b w:val="0"/>
                <w:sz w:val="20"/>
              </w:rPr>
              <w:t>Complete SAD: component and class diagrams, 3 sequence diagrams, API design, STRIDE threat model</w:t>
            </w:r>
          </w:p>
        </w:tc>
      </w:tr>
    </w:tbl>
    <w:p/>
    <w:p>
      <w:pPr>
        <w:pStyle w:val="Heading1"/>
        <w:keepNext/>
      </w:pPr>
      <w:r>
        <w:t>Approvals</w:t>
      </w:r>
    </w:p>
    <w:tbl>
      <w:tblPr>
        <w:tblW w:w="86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80" w:type="dxa"/>
          <w:right w:w="80" w:type="dxa"/>
        </w:tblCellMar>
        <w:tblLook w:val="0400"/>
      </w:tblPr>
      <w:tblGrid>
        <w:gridCol w:w="2880"/>
        <w:gridCol w:w="2880"/>
        <w:gridCol w:w="2880"/>
      </w:tblGrid>
      <w:tr>
        <w:trPr>
          <w:tblHeader/>
        </w:trPr>
        <w:tc>
          <w:tcPr>
            <w:tcW w:w="2880" w:type="dxa"/>
            <w:shd w:val="clear" w:color="auto" w:fill="D9D9D9"/>
          </w:tcPr>
          <w:p>
            <w:pPr>
              <w:spacing w:after="0" w:before="0" w:line="240" w:lineRule="auto"/>
            </w:pPr>
            <w:r>
              <w:rPr>
                <w:b/>
                <w:sz w:val="20"/>
              </w:rPr>
              <w:t>Role</w:t>
            </w:r>
          </w:p>
        </w:tc>
        <w:tc>
          <w:tcPr>
            <w:tcW w:w="2880" w:type="dxa"/>
            <w:shd w:val="clear" w:color="auto" w:fill="D9D9D9"/>
          </w:tcPr>
          <w:p>
            <w:pPr>
              <w:spacing w:after="0" w:before="0" w:line="240" w:lineRule="auto"/>
            </w:pPr>
            <w:r>
              <w:rPr>
                <w:b/>
                <w:sz w:val="20"/>
              </w:rPr>
              <w:t>Name</w:t>
            </w:r>
          </w:p>
        </w:tc>
        <w:tc>
          <w:tcPr>
            <w:tcW w:w="2880" w:type="dxa"/>
            <w:shd w:val="clear" w:color="auto" w:fill="D9D9D9"/>
          </w:tcPr>
          <w:p>
            <w:pPr>
              <w:spacing w:after="0" w:before="0" w:line="240" w:lineRule="auto"/>
            </w:pPr>
            <w:r>
              <w:rPr>
                <w:b/>
                <w:sz w:val="20"/>
              </w:rPr>
              <w:t>Signature/Date</w:t>
            </w:r>
          </w:p>
        </w:tc>
      </w:tr>
      <w:tr>
        <w:tc>
          <w:tcPr>
            <w:tcW w:w="2880" w:type="dxa"/>
          </w:tcPr>
          <w:p>
            <w:pPr>
              <w:spacing w:after="0" w:before="0" w:line="240" w:lineRule="auto"/>
            </w:pPr>
            <w:r>
              <w:rPr>
                <w:b w:val="0"/>
                <w:sz w:val="20"/>
              </w:rPr>
              <w:t>Course Coordinator</w:t>
            </w:r>
          </w:p>
        </w:tc>
        <w:tc>
          <w:tcPr>
            <w:tcW w:w="2880" w:type="dxa"/>
          </w:tcPr>
          <w:p>
            <w:pPr>
              <w:spacing w:after="0" w:before="0" w:line="240" w:lineRule="auto"/>
            </w:pPr>
            <w:r>
              <w:rPr>
                <w:b w:val="0"/>
                <w:sz w:val="20"/>
              </w:rPr>
            </w:r>
          </w:p>
        </w:tc>
        <w:tc>
          <w:tcPr>
            <w:tcW w:w="2880" w:type="dxa"/>
          </w:tcPr>
          <w:p>
            <w:pPr>
              <w:spacing w:after="0" w:before="0" w:line="240" w:lineRule="auto"/>
            </w:pPr>
            <w:r>
              <w:rPr>
                <w:b w:val="0"/>
                <w:sz w:val="20"/>
              </w:rPr>
            </w:r>
          </w:p>
        </w:tc>
      </w:tr>
      <w:tr>
        <w:tc>
          <w:tcPr>
            <w:tcW w:w="2880" w:type="dxa"/>
          </w:tcPr>
          <w:p>
            <w:pPr>
              <w:spacing w:after="0" w:before="0" w:line="240" w:lineRule="auto"/>
            </w:pPr>
            <w:r>
              <w:rPr>
                <w:b w:val="0"/>
                <w:sz w:val="20"/>
              </w:rPr>
              <w:t>Team Lead</w:t>
            </w:r>
          </w:p>
        </w:tc>
        <w:tc>
          <w:tcPr>
            <w:tcW w:w="2880" w:type="dxa"/>
          </w:tcPr>
          <w:p>
            <w:pPr>
              <w:spacing w:after="0" w:before="0" w:line="240" w:lineRule="auto"/>
            </w:pPr>
            <w:r>
              <w:rPr>
                <w:b w:val="0"/>
                <w:sz w:val="20"/>
              </w:rPr>
            </w:r>
          </w:p>
        </w:tc>
        <w:tc>
          <w:tcPr>
            <w:tcW w:w="2880" w:type="dxa"/>
          </w:tcPr>
          <w:p>
            <w:pPr>
              <w:spacing w:after="0" w:before="0" w:line="240" w:lineRule="auto"/>
            </w:pPr>
            <w:r>
              <w:rPr>
                <w:b w:val="0"/>
                <w:sz w:val="20"/>
              </w:rPr>
            </w:r>
          </w:p>
        </w:tc>
      </w:tr>
      <w:tr>
        <w:tc>
          <w:tcPr>
            <w:tcW w:w="2880" w:type="dxa"/>
          </w:tcPr>
          <w:p>
            <w:pPr>
              <w:spacing w:after="0" w:before="0" w:line="240" w:lineRule="auto"/>
            </w:pPr>
            <w:r>
              <w:rPr>
                <w:b w:val="0"/>
                <w:sz w:val="20"/>
              </w:rPr>
              <w:t>Architecture Owner</w:t>
            </w:r>
          </w:p>
        </w:tc>
        <w:tc>
          <w:tcPr>
            <w:tcW w:w="2880" w:type="dxa"/>
          </w:tcPr>
          <w:p>
            <w:pPr>
              <w:spacing w:after="0" w:before="0" w:line="240" w:lineRule="auto"/>
            </w:pPr>
            <w:r>
              <w:rPr>
                <w:b w:val="0"/>
                <w:sz w:val="20"/>
              </w:rPr>
            </w:r>
          </w:p>
        </w:tc>
        <w:tc>
          <w:tcPr>
            <w:tcW w:w="2880" w:type="dxa"/>
          </w:tcPr>
          <w:p>
            <w:pPr>
              <w:spacing w:after="0" w:before="0" w:line="240" w:lineRule="auto"/>
            </w:pPr>
            <w:r>
              <w:rPr>
                <w:b w:val="0"/>
                <w:sz w:val="20"/>
              </w:rPr>
            </w:r>
          </w:p>
        </w:tc>
      </w:tr>
    </w:tbl>
    <w:p/>
    <w:p>
      <w:pPr>
        <w:pStyle w:val="Heading1"/>
        <w:keepNext/>
      </w:pPr>
      <w:r>
        <w:t>1. Introduction</w:t>
      </w:r>
    </w:p>
    <w:p>
      <w:r>
        <w:t>1.1 Purpose</w:t>
      </w:r>
      <w:r>
        <w:br/>
      </w:r>
      <w:r>
        <w:t>This document specifies the architecture and design of CRM-RACRL, a Customer Relationship Management system covering Reach, Acquire, Convert, Retain and Loyalty. It is the design baseline the team follows in Sprint 1 (27-31 Oct 2026) and Sprint 2 (2-7 Nov 2026).</w:t>
      </w:r>
    </w:p>
    <w:p>
      <w:r>
        <w:t>1.2 Scope</w:t>
      </w:r>
      <w:r>
        <w:br/>
      </w:r>
      <w:r>
        <w:t>Covers the web client, the REST API with its seven domain modules (Auth, Reach, Acquire, Convert, Retain, Loyalty, Analytics), the PostgreSQL data model, security architecture, deployment and the CI/CD pipeline. Real payment and messaging providers are out of scope and stubbed.</w:t>
      </w:r>
    </w:p>
    <w:p>
      <w:r>
        <w:t>1.3 Audience</w:t>
      </w:r>
      <w:r>
        <w:br/>
      </w:r>
      <w:r>
        <w:t>Developers, QA engineers, the course coordinator and evaluators, and anyone maintaining the system after the project.</w:t>
      </w:r>
    </w:p>
    <w:p>
      <w:r>
        <w:t>1.4 Definitions</w:t>
      </w:r>
      <w:r>
        <w:br/>
      </w:r>
      <w:r>
        <w:t>CRM, RBAC, JWT, ORM (Object-Relational Mapper), SPA (Single-Page Application), ADR (Architecture Decision Record), STRIDE, CI/CD, SLA, CLV, DPDP Act 2023.</w:t>
      </w:r>
    </w:p>
    <w:p>
      <w:pPr>
        <w:pStyle w:val="Heading1"/>
        <w:keepNext/>
      </w:pPr>
      <w:r>
        <w:t>2. Document Overview</w:t>
      </w:r>
    </w:p>
    <w:p>
      <w:r>
        <w:t>2.1 How to use this document</w:t>
      </w:r>
      <w:r>
        <w:br/>
      </w:r>
      <w:r>
        <w:t>Section 3 gives the architecture: goals, stakeholders, component and class diagrams, the chosen pattern, technology, risks, traceability and security. Section 4 gives the design: sequence diagrams for key flows, API definitions, error handling, logging, monitoring and UX. Requirement IDs (CRM-F, CRM-NF, CRM-SR) refer to the SRS.</w:t>
      </w:r>
    </w:p>
    <w:p>
      <w:r>
        <w:t>2.2 Related Documents</w:t>
      </w:r>
      <w:r>
        <w:br/>
      </w:r>
      <w:r>
        <w:t>Software Requirements Specification (SRS) v1.0, Software Test Plan (STP) v1.0, Requirements Traceability Matrix (in the SRS), Jira product backlog for Sprints 1 and 2.</w:t>
      </w:r>
    </w:p>
    <w:p>
      <w:pPr>
        <w:pStyle w:val="Heading1"/>
        <w:keepNext/>
      </w:pPr>
      <w:r>
        <w:t>3. Architecture</w:t>
      </w:r>
    </w:p>
    <w:p>
      <w:r>
        <w:rPr>
          <w:b/>
        </w:rPr>
        <w:t>3.1 Goals &amp; Constraints</w:t>
      </w:r>
      <w:r>
        <w:br/>
      </w:r>
      <w:r>
        <w:t>Goals: one shared customer record across all five lifecycle stages; secure by default (server-side RBAC, validated input); p95 API latency under 500 ms; easy to build and test by four people in two weeks; automated, gated deployment. Constraints: two one-week sprints, free hosting tiers, DPDP Act 2023 consent rules, TypeScript skills of the team.</w:t>
      </w:r>
    </w:p>
    <w:p>
      <w:r>
        <w:rPr>
          <w:b/>
        </w:rPr>
        <w:t>3.2 Stakeholders &amp; Concerns</w:t>
      </w:r>
      <w:r>
        <w:br/>
      </w:r>
      <w:r>
        <w:t>Sales and marketing users: speed, few clicks, accurate pipeline and campaign numbers</w:t>
      </w:r>
      <w:r>
        <w:br/>
      </w:r>
      <w:r>
        <w:t>Support agents: complete Customer 360 view, SLA visibility</w:t>
      </w:r>
      <w:r>
        <w:br/>
      </w:r>
      <w:r>
        <w:t>Customers: privacy of personal data, correct loyalty points</w:t>
      </w:r>
      <w:r>
        <w:br/>
      </w:r>
      <w:r>
        <w:t>Business owner / management: reliable KPIs and funnel</w:t>
      </w:r>
      <w:r>
        <w:br/>
      </w:r>
      <w:r>
        <w:t>Course evaluators: traceability, working CI/CD, documented deviations</w:t>
      </w:r>
      <w:r>
        <w:br/>
      </w:r>
      <w:r>
        <w:t>Developers: modularity, clear module boundaries, fast local setup</w:t>
      </w:r>
    </w:p>
    <w:p>
      <w:pPr>
        <w:pStyle w:val="Heading2"/>
        <w:keepNext/>
      </w:pPr>
      <w:r>
        <w:t>3.3 Component (UML) Diagram</w:t>
      </w:r>
    </w:p>
    <w:p>
      <w:r>
        <w:rPr>
          <w:i w:val="0"/>
        </w:rPr>
        <w:t>Figure 1 shows the main components arranged in layers. All requests from the web UI go through the API gateway, which checks the token, role and input before passing the call to one of the seven business modules. Modules read and write data only through the repository layer.</w:t>
      </w:r>
    </w:p>
    <w:p>
      <w:pPr>
        <w:keepNext/>
        <w:jc w:val="center"/>
      </w:pPr>
      <w:r>
        <w:drawing>
          <wp:inline xmlns:a="http://schemas.openxmlformats.org/drawingml/2006/main" xmlns:pic="http://schemas.openxmlformats.org/drawingml/2006/picture">
            <wp:extent cx="5486400" cy="3526971"/>
            <wp:docPr id="1" name="Picture 1"/>
            <wp:cNvGraphicFramePr>
              <a:graphicFrameLocks noChangeAspect="1"/>
            </wp:cNvGraphicFramePr>
            <a:graphic>
              <a:graphicData uri="http://schemas.openxmlformats.org/drawingml/2006/picture">
                <pic:pic>
                  <pic:nvPicPr>
                    <pic:cNvPr id="0" name="component.png"/>
                    <pic:cNvPicPr/>
                  </pic:nvPicPr>
                  <pic:blipFill>
                    <a:blip r:embed="rId6"/>
                    <a:stretch>
                      <a:fillRect/>
                    </a:stretch>
                  </pic:blipFill>
                  <pic:spPr>
                    <a:xfrm>
                      <a:off x="0" y="0"/>
                      <a:ext cx="5486400" cy="3526971"/>
                    </a:xfrm>
                    <a:prstGeom prst="rect"/>
                  </pic:spPr>
                </pic:pic>
              </a:graphicData>
            </a:graphic>
          </wp:inline>
        </w:drawing>
      </w:r>
    </w:p>
    <w:p>
      <w:pPr>
        <w:jc w:val="center"/>
      </w:pPr>
      <w:r>
        <w:rPr>
          <w:i/>
          <w:sz w:val="18"/>
        </w:rPr>
        <w:t>Figure 1: Component diagram (layered architecture)</w:t>
      </w:r>
    </w:p>
    <w:p>
      <w:r>
        <w:rPr>
          <w:i w:val="0"/>
        </w:rPr>
        <w:t>Figure 2 is the class diagram for the core domain. Contact sits in the middle and links to deals, tickets, orders and loyalty points.</w:t>
      </w:r>
    </w:p>
    <w:p>
      <w:pPr>
        <w:keepNext/>
        <w:jc w:val="center"/>
      </w:pPr>
      <w:r>
        <w:drawing>
          <wp:inline xmlns:a="http://schemas.openxmlformats.org/drawingml/2006/main" xmlns:pic="http://schemas.openxmlformats.org/drawingml/2006/picture">
            <wp:extent cx="4206240" cy="7210697"/>
            <wp:docPr id="2" name="Picture 2"/>
            <wp:cNvGraphicFramePr>
              <a:graphicFrameLocks noChangeAspect="1"/>
            </wp:cNvGraphicFramePr>
            <a:graphic>
              <a:graphicData uri="http://schemas.openxmlformats.org/drawingml/2006/picture">
                <pic:pic>
                  <pic:nvPicPr>
                    <pic:cNvPr id="0" name="class.png"/>
                    <pic:cNvPicPr/>
                  </pic:nvPicPr>
                  <pic:blipFill>
                    <a:blip r:embed="rId7"/>
                    <a:stretch>
                      <a:fillRect/>
                    </a:stretch>
                  </pic:blipFill>
                  <pic:spPr>
                    <a:xfrm>
                      <a:off x="0" y="0"/>
                      <a:ext cx="4206240" cy="7210697"/>
                    </a:xfrm>
                    <a:prstGeom prst="rect"/>
                  </pic:spPr>
                </pic:pic>
              </a:graphicData>
            </a:graphic>
          </wp:inline>
        </w:drawing>
      </w:r>
    </w:p>
    <w:p>
      <w:pPr>
        <w:jc w:val="center"/>
      </w:pPr>
      <w:r>
        <w:rPr>
          <w:i/>
          <w:sz w:val="18"/>
        </w:rPr>
        <w:t>Figure 2: Class diagram (domain model)</w:t>
      </w:r>
    </w:p>
    <w:p>
      <w:pPr>
        <w:pStyle w:val="Heading2"/>
        <w:keepNext/>
      </w:pPr>
      <w:r>
        <w:t>3.4 Component Descriptions</w:t>
      </w:r>
    </w:p>
    <w:tbl>
      <w:tblPr>
        <w:tblW w:w="86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80" w:type="dxa"/>
          <w:right w:w="80" w:type="dxa"/>
        </w:tblCellMar>
        <w:tblLook w:val="0400"/>
      </w:tblPr>
      <w:tblGrid>
        <w:gridCol w:w="1703"/>
        <w:gridCol w:w="3163"/>
        <w:gridCol w:w="2190"/>
        <w:gridCol w:w="1584"/>
      </w:tblGrid>
      <w:tr>
        <w:trPr>
          <w:tblHeader/>
        </w:trPr>
        <w:tc>
          <w:tcPr>
            <w:tcW w:w="1703" w:type="dxa"/>
            <w:shd w:val="clear" w:color="auto" w:fill="D9D9D9"/>
          </w:tcPr>
          <w:p>
            <w:pPr>
              <w:spacing w:after="0" w:before="0" w:line="240" w:lineRule="auto"/>
            </w:pPr>
            <w:r>
              <w:rPr>
                <w:b/>
                <w:sz w:val="17"/>
              </w:rPr>
              <w:t>Component</w:t>
            </w:r>
          </w:p>
        </w:tc>
        <w:tc>
          <w:tcPr>
            <w:tcW w:w="3163" w:type="dxa"/>
            <w:shd w:val="clear" w:color="auto" w:fill="D9D9D9"/>
          </w:tcPr>
          <w:p>
            <w:pPr>
              <w:spacing w:after="0" w:before="0" w:line="240" w:lineRule="auto"/>
            </w:pPr>
            <w:r>
              <w:rPr>
                <w:b/>
                <w:sz w:val="17"/>
              </w:rPr>
              <w:t>Responsibility</w:t>
            </w:r>
          </w:p>
        </w:tc>
        <w:tc>
          <w:tcPr>
            <w:tcW w:w="2190" w:type="dxa"/>
            <w:shd w:val="clear" w:color="auto" w:fill="D9D9D9"/>
          </w:tcPr>
          <w:p>
            <w:pPr>
              <w:spacing w:after="0" w:before="0" w:line="240" w:lineRule="auto"/>
            </w:pPr>
            <w:r>
              <w:rPr>
                <w:b/>
                <w:sz w:val="17"/>
              </w:rPr>
              <w:t>Main classes / tables</w:t>
            </w:r>
          </w:p>
        </w:tc>
        <w:tc>
          <w:tcPr>
            <w:tcW w:w="1584" w:type="dxa"/>
            <w:shd w:val="clear" w:color="auto" w:fill="D9D9D9"/>
          </w:tcPr>
          <w:p>
            <w:pPr>
              <w:spacing w:after="0" w:before="0" w:line="240" w:lineRule="auto"/>
            </w:pPr>
            <w:r>
              <w:rPr>
                <w:b/>
                <w:sz w:val="17"/>
              </w:rPr>
              <w:t>Requirements</w:t>
            </w:r>
          </w:p>
        </w:tc>
      </w:tr>
      <w:tr>
        <w:tc>
          <w:tcPr>
            <w:tcW w:w="1703" w:type="dxa"/>
          </w:tcPr>
          <w:p>
            <w:pPr>
              <w:spacing w:after="0" w:before="0" w:line="240" w:lineRule="auto"/>
            </w:pPr>
            <w:r>
              <w:rPr>
                <w:b w:val="0"/>
                <w:sz w:val="17"/>
              </w:rPr>
              <w:t>React SPA</w:t>
            </w:r>
          </w:p>
        </w:tc>
        <w:tc>
          <w:tcPr>
            <w:tcW w:w="3163" w:type="dxa"/>
          </w:tcPr>
          <w:p>
            <w:pPr>
              <w:spacing w:after="0" w:before="0" w:line="240" w:lineRule="auto"/>
            </w:pPr>
            <w:r>
              <w:rPr>
                <w:b w:val="0"/>
                <w:sz w:val="17"/>
              </w:rPr>
              <w:t>All screens, client-side validation, role-based route guards, Kanban board, dashboard charts</w:t>
            </w:r>
          </w:p>
        </w:tc>
        <w:tc>
          <w:tcPr>
            <w:tcW w:w="2190" w:type="dxa"/>
          </w:tcPr>
          <w:p>
            <w:pPr>
              <w:spacing w:after="0" w:before="0" w:line="240" w:lineRule="auto"/>
            </w:pPr>
            <w:r>
              <w:rPr>
                <w:b w:val="0"/>
                <w:sz w:val="17"/>
              </w:rPr>
              <w:t>Pages per module, TanStack Query hooks</w:t>
            </w:r>
          </w:p>
        </w:tc>
        <w:tc>
          <w:tcPr>
            <w:tcW w:w="1584" w:type="dxa"/>
          </w:tcPr>
          <w:p>
            <w:pPr>
              <w:spacing w:after="0" w:before="0" w:line="240" w:lineRule="auto"/>
            </w:pPr>
            <w:r>
              <w:rPr>
                <w:b w:val="0"/>
                <w:sz w:val="17"/>
              </w:rPr>
              <w:t>All FRs (UI), CRM-NF-004/005</w:t>
            </w:r>
          </w:p>
        </w:tc>
      </w:tr>
      <w:tr>
        <w:tc>
          <w:tcPr>
            <w:tcW w:w="1703" w:type="dxa"/>
          </w:tcPr>
          <w:p>
            <w:pPr>
              <w:spacing w:after="0" w:before="0" w:line="240" w:lineRule="auto"/>
            </w:pPr>
            <w:r>
              <w:rPr>
                <w:b w:val="0"/>
                <w:sz w:val="17"/>
              </w:rPr>
              <w:t>Security Middleware</w:t>
            </w:r>
          </w:p>
        </w:tc>
        <w:tc>
          <w:tcPr>
            <w:tcW w:w="3163" w:type="dxa"/>
          </w:tcPr>
          <w:p>
            <w:pPr>
              <w:spacing w:after="0" w:before="0" w:line="240" w:lineRule="auto"/>
            </w:pPr>
            <w:r>
              <w:rPr>
                <w:b w:val="0"/>
                <w:sz w:val="17"/>
              </w:rPr>
              <w:t>helmet headers, CORS, rate limiting, JWT verification, role checks, Zod schema validation</w:t>
            </w:r>
          </w:p>
        </w:tc>
        <w:tc>
          <w:tcPr>
            <w:tcW w:w="2190" w:type="dxa"/>
          </w:tcPr>
          <w:p>
            <w:pPr>
              <w:spacing w:after="0" w:before="0" w:line="240" w:lineRule="auto"/>
            </w:pPr>
            <w:r>
              <w:rPr>
                <w:b w:val="0"/>
                <w:sz w:val="17"/>
              </w:rPr>
              <w:t>authenticate(), authorize(roles), validate(schema)</w:t>
            </w:r>
          </w:p>
        </w:tc>
        <w:tc>
          <w:tcPr>
            <w:tcW w:w="1584" w:type="dxa"/>
          </w:tcPr>
          <w:p>
            <w:pPr>
              <w:spacing w:after="0" w:before="0" w:line="240" w:lineRule="auto"/>
            </w:pPr>
            <w:r>
              <w:rPr>
                <w:b w:val="0"/>
                <w:sz w:val="17"/>
              </w:rPr>
              <w:t>CRM-SR-001..006</w:t>
            </w:r>
          </w:p>
        </w:tc>
      </w:tr>
      <w:tr>
        <w:tc>
          <w:tcPr>
            <w:tcW w:w="1703" w:type="dxa"/>
          </w:tcPr>
          <w:p>
            <w:pPr>
              <w:spacing w:after="0" w:before="0" w:line="240" w:lineRule="auto"/>
            </w:pPr>
            <w:r>
              <w:rPr>
                <w:b w:val="0"/>
                <w:sz w:val="17"/>
              </w:rPr>
              <w:t>Auth Module</w:t>
            </w:r>
          </w:p>
        </w:tc>
        <w:tc>
          <w:tcPr>
            <w:tcW w:w="3163" w:type="dxa"/>
          </w:tcPr>
          <w:p>
            <w:pPr>
              <w:spacing w:after="0" w:before="0" w:line="240" w:lineRule="auto"/>
            </w:pPr>
            <w:r>
              <w:rPr>
                <w:b w:val="0"/>
                <w:sz w:val="17"/>
              </w:rPr>
              <w:t>Login, token issue, user administration</w:t>
            </w:r>
          </w:p>
        </w:tc>
        <w:tc>
          <w:tcPr>
            <w:tcW w:w="2190" w:type="dxa"/>
          </w:tcPr>
          <w:p>
            <w:pPr>
              <w:spacing w:after="0" w:before="0" w:line="240" w:lineRule="auto"/>
            </w:pPr>
            <w:r>
              <w:rPr>
                <w:b w:val="0"/>
                <w:sz w:val="17"/>
              </w:rPr>
              <w:t>User, Role</w:t>
            </w:r>
          </w:p>
        </w:tc>
        <w:tc>
          <w:tcPr>
            <w:tcW w:w="1584" w:type="dxa"/>
          </w:tcPr>
          <w:p>
            <w:pPr>
              <w:spacing w:after="0" w:before="0" w:line="240" w:lineRule="auto"/>
            </w:pPr>
            <w:r>
              <w:rPr>
                <w:b w:val="0"/>
                <w:sz w:val="17"/>
              </w:rPr>
              <w:t>CRM-F-001..003</w:t>
            </w:r>
          </w:p>
        </w:tc>
      </w:tr>
      <w:tr>
        <w:tc>
          <w:tcPr>
            <w:tcW w:w="1703" w:type="dxa"/>
          </w:tcPr>
          <w:p>
            <w:pPr>
              <w:spacing w:after="0" w:before="0" w:line="240" w:lineRule="auto"/>
            </w:pPr>
            <w:r>
              <w:rPr>
                <w:b w:val="0"/>
                <w:sz w:val="17"/>
              </w:rPr>
              <w:t>Reach Module</w:t>
            </w:r>
          </w:p>
        </w:tc>
        <w:tc>
          <w:tcPr>
            <w:tcW w:w="3163" w:type="dxa"/>
          </w:tcPr>
          <w:p>
            <w:pPr>
              <w:spacing w:after="0" w:before="0" w:line="240" w:lineRule="auto"/>
            </w:pPr>
            <w:r>
              <w:rPr>
                <w:b w:val="0"/>
                <w:sz w:val="17"/>
              </w:rPr>
              <w:t>Segments, campaigns, simulated sends, campaign metrics</w:t>
            </w:r>
          </w:p>
        </w:tc>
        <w:tc>
          <w:tcPr>
            <w:tcW w:w="2190" w:type="dxa"/>
          </w:tcPr>
          <w:p>
            <w:pPr>
              <w:spacing w:after="0" w:before="0" w:line="240" w:lineRule="auto"/>
            </w:pPr>
            <w:r>
              <w:rPr>
                <w:b w:val="0"/>
                <w:sz w:val="17"/>
              </w:rPr>
              <w:t>Segment, Campaign, CampaignEvent</w:t>
            </w:r>
          </w:p>
        </w:tc>
        <w:tc>
          <w:tcPr>
            <w:tcW w:w="1584" w:type="dxa"/>
          </w:tcPr>
          <w:p>
            <w:pPr>
              <w:spacing w:after="0" w:before="0" w:line="240" w:lineRule="auto"/>
            </w:pPr>
            <w:r>
              <w:rPr>
                <w:b w:val="0"/>
                <w:sz w:val="17"/>
              </w:rPr>
              <w:t>CRM-F-010..012</w:t>
            </w:r>
          </w:p>
        </w:tc>
      </w:tr>
      <w:tr>
        <w:tc>
          <w:tcPr>
            <w:tcW w:w="1703" w:type="dxa"/>
          </w:tcPr>
          <w:p>
            <w:pPr>
              <w:spacing w:after="0" w:before="0" w:line="240" w:lineRule="auto"/>
            </w:pPr>
            <w:r>
              <w:rPr>
                <w:b w:val="0"/>
                <w:sz w:val="17"/>
              </w:rPr>
              <w:t>Acquire Module</w:t>
            </w:r>
          </w:p>
        </w:tc>
        <w:tc>
          <w:tcPr>
            <w:tcW w:w="3163" w:type="dxa"/>
          </w:tcPr>
          <w:p>
            <w:pPr>
              <w:spacing w:after="0" w:before="0" w:line="240" w:lineRule="auto"/>
            </w:pPr>
            <w:r>
              <w:rPr>
                <w:b w:val="0"/>
                <w:sz w:val="17"/>
              </w:rPr>
              <w:t>Web-form and manual capture, CSV import, scoring, assignment</w:t>
            </w:r>
          </w:p>
        </w:tc>
        <w:tc>
          <w:tcPr>
            <w:tcW w:w="2190" w:type="dxa"/>
          </w:tcPr>
          <w:p>
            <w:pPr>
              <w:spacing w:after="0" w:before="0" w:line="240" w:lineRule="auto"/>
            </w:pPr>
            <w:r>
              <w:rPr>
                <w:b w:val="0"/>
                <w:sz w:val="17"/>
              </w:rPr>
              <w:t>Lead, LeadScoreRule</w:t>
            </w:r>
          </w:p>
        </w:tc>
        <w:tc>
          <w:tcPr>
            <w:tcW w:w="1584" w:type="dxa"/>
          </w:tcPr>
          <w:p>
            <w:pPr>
              <w:spacing w:after="0" w:before="0" w:line="240" w:lineRule="auto"/>
            </w:pPr>
            <w:r>
              <w:rPr>
                <w:b w:val="0"/>
                <w:sz w:val="17"/>
              </w:rPr>
              <w:t>CRM-F-020..023</w:t>
            </w:r>
          </w:p>
        </w:tc>
      </w:tr>
      <w:tr>
        <w:tc>
          <w:tcPr>
            <w:tcW w:w="1703" w:type="dxa"/>
          </w:tcPr>
          <w:p>
            <w:pPr>
              <w:spacing w:after="0" w:before="0" w:line="240" w:lineRule="auto"/>
            </w:pPr>
            <w:r>
              <w:rPr>
                <w:b w:val="0"/>
                <w:sz w:val="17"/>
              </w:rPr>
              <w:t>Convert Module</w:t>
            </w:r>
          </w:p>
        </w:tc>
        <w:tc>
          <w:tcPr>
            <w:tcW w:w="3163" w:type="dxa"/>
          </w:tcPr>
          <w:p>
            <w:pPr>
              <w:spacing w:after="0" w:before="0" w:line="240" w:lineRule="auto"/>
            </w:pPr>
            <w:r>
              <w:rPr>
                <w:b w:val="0"/>
                <w:sz w:val="17"/>
              </w:rPr>
              <w:t>Contacts, accounts, deals pipeline, lead conversion, activities, quotes</w:t>
            </w:r>
          </w:p>
        </w:tc>
        <w:tc>
          <w:tcPr>
            <w:tcW w:w="2190" w:type="dxa"/>
          </w:tcPr>
          <w:p>
            <w:pPr>
              <w:spacing w:after="0" w:before="0" w:line="240" w:lineRule="auto"/>
            </w:pPr>
            <w:r>
              <w:rPr>
                <w:b w:val="0"/>
                <w:sz w:val="17"/>
              </w:rPr>
              <w:t>Contact, Account, Deal, Activity, Quote</w:t>
            </w:r>
          </w:p>
        </w:tc>
        <w:tc>
          <w:tcPr>
            <w:tcW w:w="1584" w:type="dxa"/>
          </w:tcPr>
          <w:p>
            <w:pPr>
              <w:spacing w:after="0" w:before="0" w:line="240" w:lineRule="auto"/>
            </w:pPr>
            <w:r>
              <w:rPr>
                <w:b w:val="0"/>
                <w:sz w:val="17"/>
              </w:rPr>
              <w:t>CRM-F-030..034</w:t>
            </w:r>
          </w:p>
        </w:tc>
      </w:tr>
      <w:tr>
        <w:tc>
          <w:tcPr>
            <w:tcW w:w="1703" w:type="dxa"/>
          </w:tcPr>
          <w:p>
            <w:pPr>
              <w:spacing w:after="0" w:before="0" w:line="240" w:lineRule="auto"/>
            </w:pPr>
            <w:r>
              <w:rPr>
                <w:b w:val="0"/>
                <w:sz w:val="17"/>
              </w:rPr>
              <w:t>Retain Module</w:t>
            </w:r>
          </w:p>
        </w:tc>
        <w:tc>
          <w:tcPr>
            <w:tcW w:w="3163" w:type="dxa"/>
          </w:tcPr>
          <w:p>
            <w:pPr>
              <w:spacing w:after="0" w:before="0" w:line="240" w:lineRule="auto"/>
            </w:pPr>
            <w:r>
              <w:rPr>
                <w:b w:val="0"/>
                <w:sz w:val="17"/>
              </w:rPr>
              <w:t>Tickets and SLA, Customer 360 aggregation, churn-risk rule</w:t>
            </w:r>
          </w:p>
        </w:tc>
        <w:tc>
          <w:tcPr>
            <w:tcW w:w="2190" w:type="dxa"/>
          </w:tcPr>
          <w:p>
            <w:pPr>
              <w:spacing w:after="0" w:before="0" w:line="240" w:lineRule="auto"/>
            </w:pPr>
            <w:r>
              <w:rPr>
                <w:b w:val="0"/>
                <w:sz w:val="17"/>
              </w:rPr>
              <w:t>Ticket</w:t>
            </w:r>
          </w:p>
        </w:tc>
        <w:tc>
          <w:tcPr>
            <w:tcW w:w="1584" w:type="dxa"/>
          </w:tcPr>
          <w:p>
            <w:pPr>
              <w:spacing w:after="0" w:before="0" w:line="240" w:lineRule="auto"/>
            </w:pPr>
            <w:r>
              <w:rPr>
                <w:b w:val="0"/>
                <w:sz w:val="17"/>
              </w:rPr>
              <w:t>CRM-F-040..042</w:t>
            </w:r>
          </w:p>
        </w:tc>
      </w:tr>
      <w:tr>
        <w:tc>
          <w:tcPr>
            <w:tcW w:w="1703" w:type="dxa"/>
          </w:tcPr>
          <w:p>
            <w:pPr>
              <w:spacing w:after="0" w:before="0" w:line="240" w:lineRule="auto"/>
            </w:pPr>
            <w:r>
              <w:rPr>
                <w:b w:val="0"/>
                <w:sz w:val="17"/>
              </w:rPr>
              <w:t>Loyalty Module</w:t>
            </w:r>
          </w:p>
        </w:tc>
        <w:tc>
          <w:tcPr>
            <w:tcW w:w="3163" w:type="dxa"/>
          </w:tcPr>
          <w:p>
            <w:pPr>
              <w:spacing w:after="0" w:before="0" w:line="240" w:lineRule="auto"/>
            </w:pPr>
            <w:r>
              <w:rPr>
                <w:b w:val="0"/>
                <w:sz w:val="17"/>
              </w:rPr>
              <w:t>Orders, points ledger, tiers, rewards, redemption, referrals</w:t>
            </w:r>
          </w:p>
        </w:tc>
        <w:tc>
          <w:tcPr>
            <w:tcW w:w="2190" w:type="dxa"/>
          </w:tcPr>
          <w:p>
            <w:pPr>
              <w:spacing w:after="0" w:before="0" w:line="240" w:lineRule="auto"/>
            </w:pPr>
            <w:r>
              <w:rPr>
                <w:b w:val="0"/>
                <w:sz w:val="17"/>
              </w:rPr>
              <w:t>Order, PointsLedger, Tier, Reward, Redemption, Referral</w:t>
            </w:r>
          </w:p>
        </w:tc>
        <w:tc>
          <w:tcPr>
            <w:tcW w:w="1584" w:type="dxa"/>
          </w:tcPr>
          <w:p>
            <w:pPr>
              <w:spacing w:after="0" w:before="0" w:line="240" w:lineRule="auto"/>
            </w:pPr>
            <w:r>
              <w:rPr>
                <w:b w:val="0"/>
                <w:sz w:val="17"/>
              </w:rPr>
              <w:t>CRM-F-050..053</w:t>
            </w:r>
          </w:p>
        </w:tc>
      </w:tr>
      <w:tr>
        <w:tc>
          <w:tcPr>
            <w:tcW w:w="1703" w:type="dxa"/>
          </w:tcPr>
          <w:p>
            <w:pPr>
              <w:spacing w:after="0" w:before="0" w:line="240" w:lineRule="auto"/>
            </w:pPr>
            <w:r>
              <w:rPr>
                <w:b w:val="0"/>
                <w:sz w:val="17"/>
              </w:rPr>
              <w:t>Analytics Module</w:t>
            </w:r>
          </w:p>
        </w:tc>
        <w:tc>
          <w:tcPr>
            <w:tcW w:w="3163" w:type="dxa"/>
          </w:tcPr>
          <w:p>
            <w:pPr>
              <w:spacing w:after="0" w:before="0" w:line="240" w:lineRule="auto"/>
            </w:pPr>
            <w:r>
              <w:rPr>
                <w:b w:val="0"/>
                <w:sz w:val="17"/>
              </w:rPr>
              <w:t>KPIs, funnel, CSV export, global search, audit log viewer</w:t>
            </w:r>
          </w:p>
        </w:tc>
        <w:tc>
          <w:tcPr>
            <w:tcW w:w="2190" w:type="dxa"/>
          </w:tcPr>
          <w:p>
            <w:pPr>
              <w:spacing w:after="0" w:before="0" w:line="240" w:lineRule="auto"/>
            </w:pPr>
            <w:r>
              <w:rPr>
                <w:b w:val="0"/>
                <w:sz w:val="17"/>
              </w:rPr>
              <w:t>AuditLog, read-only SQL views</w:t>
            </w:r>
          </w:p>
        </w:tc>
        <w:tc>
          <w:tcPr>
            <w:tcW w:w="1584" w:type="dxa"/>
          </w:tcPr>
          <w:p>
            <w:pPr>
              <w:spacing w:after="0" w:before="0" w:line="240" w:lineRule="auto"/>
            </w:pPr>
            <w:r>
              <w:rPr>
                <w:b w:val="0"/>
                <w:sz w:val="17"/>
              </w:rPr>
              <w:t>CRM-F-060..064</w:t>
            </w:r>
          </w:p>
        </w:tc>
      </w:tr>
      <w:tr>
        <w:tc>
          <w:tcPr>
            <w:tcW w:w="1703" w:type="dxa"/>
          </w:tcPr>
          <w:p>
            <w:pPr>
              <w:spacing w:after="0" w:before="0" w:line="240" w:lineRule="auto"/>
            </w:pPr>
            <w:r>
              <w:rPr>
                <w:b w:val="0"/>
                <w:sz w:val="17"/>
              </w:rPr>
              <w:t>Common</w:t>
            </w:r>
          </w:p>
        </w:tc>
        <w:tc>
          <w:tcPr>
            <w:tcW w:w="3163" w:type="dxa"/>
          </w:tcPr>
          <w:p>
            <w:pPr>
              <w:spacing w:after="0" w:before="0" w:line="240" w:lineRule="auto"/>
            </w:pPr>
            <w:r>
              <w:rPr>
                <w:b w:val="0"/>
                <w:sz w:val="17"/>
              </w:rPr>
              <w:t>Logger (pino), error handler, pagination helper, audit hook</w:t>
            </w:r>
          </w:p>
        </w:tc>
        <w:tc>
          <w:tcPr>
            <w:tcW w:w="2190" w:type="dxa"/>
          </w:tcPr>
          <w:p>
            <w:pPr>
              <w:spacing w:after="0" w:before="0" w:line="240" w:lineRule="auto"/>
            </w:pPr>
            <w:r>
              <w:rPr>
                <w:b w:val="0"/>
                <w:sz w:val="17"/>
              </w:rPr>
              <w:t>-</w:t>
            </w:r>
          </w:p>
        </w:tc>
        <w:tc>
          <w:tcPr>
            <w:tcW w:w="1584" w:type="dxa"/>
          </w:tcPr>
          <w:p>
            <w:pPr>
              <w:spacing w:after="0" w:before="0" w:line="240" w:lineRule="auto"/>
            </w:pPr>
            <w:r>
              <w:rPr>
                <w:b w:val="0"/>
                <w:sz w:val="17"/>
              </w:rPr>
              <w:t>CRM-NF-006, CRM-F-064</w:t>
            </w:r>
          </w:p>
        </w:tc>
      </w:tr>
      <w:tr>
        <w:tc>
          <w:tcPr>
            <w:tcW w:w="1703" w:type="dxa"/>
          </w:tcPr>
          <w:p>
            <w:pPr>
              <w:spacing w:after="0" w:before="0" w:line="240" w:lineRule="auto"/>
            </w:pPr>
            <w:r>
              <w:rPr>
                <w:b w:val="0"/>
                <w:sz w:val="17"/>
              </w:rPr>
              <w:t>Prisma ORM + PostgreSQL</w:t>
            </w:r>
          </w:p>
        </w:tc>
        <w:tc>
          <w:tcPr>
            <w:tcW w:w="3163" w:type="dxa"/>
          </w:tcPr>
          <w:p>
            <w:pPr>
              <w:spacing w:after="0" w:before="0" w:line="240" w:lineRule="auto"/>
            </w:pPr>
            <w:r>
              <w:rPr>
                <w:b w:val="0"/>
                <w:sz w:val="17"/>
              </w:rPr>
              <w:t>Persistence, migrations, transactions, indexes</w:t>
            </w:r>
          </w:p>
        </w:tc>
        <w:tc>
          <w:tcPr>
            <w:tcW w:w="2190" w:type="dxa"/>
          </w:tcPr>
          <w:p>
            <w:pPr>
              <w:spacing w:after="0" w:before="0" w:line="240" w:lineRule="auto"/>
            </w:pPr>
            <w:r>
              <w:rPr>
                <w:b w:val="0"/>
                <w:sz w:val="17"/>
              </w:rPr>
              <w:t>schema.prisma</w:t>
            </w:r>
          </w:p>
        </w:tc>
        <w:tc>
          <w:tcPr>
            <w:tcW w:w="1584" w:type="dxa"/>
          </w:tcPr>
          <w:p>
            <w:pPr>
              <w:spacing w:after="0" w:before="0" w:line="240" w:lineRule="auto"/>
            </w:pPr>
            <w:r>
              <w:rPr>
                <w:b w:val="0"/>
                <w:sz w:val="17"/>
              </w:rPr>
              <w:t>CRM-NF-008/009</w:t>
            </w:r>
          </w:p>
        </w:tc>
      </w:tr>
      <w:tr>
        <w:tc>
          <w:tcPr>
            <w:tcW w:w="1703" w:type="dxa"/>
          </w:tcPr>
          <w:p>
            <w:pPr>
              <w:spacing w:after="0" w:before="0" w:line="240" w:lineRule="auto"/>
            </w:pPr>
            <w:r>
              <w:rPr>
                <w:b w:val="0"/>
                <w:sz w:val="17"/>
              </w:rPr>
              <w:t>NotificationService</w:t>
            </w:r>
          </w:p>
        </w:tc>
        <w:tc>
          <w:tcPr>
            <w:tcW w:w="3163" w:type="dxa"/>
          </w:tcPr>
          <w:p>
            <w:pPr>
              <w:spacing w:after="0" w:before="0" w:line="240" w:lineRule="auto"/>
            </w:pPr>
            <w:r>
              <w:rPr>
                <w:b w:val="0"/>
                <w:sz w:val="17"/>
              </w:rPr>
              <w:t>Interface for email/SMS; logging stub in this release</w:t>
            </w:r>
          </w:p>
        </w:tc>
        <w:tc>
          <w:tcPr>
            <w:tcW w:w="2190" w:type="dxa"/>
          </w:tcPr>
          <w:p>
            <w:pPr>
              <w:spacing w:after="0" w:before="0" w:line="240" w:lineRule="auto"/>
            </w:pPr>
            <w:r>
              <w:rPr>
                <w:b w:val="0"/>
                <w:sz w:val="17"/>
              </w:rPr>
              <w:t>NotificationService</w:t>
            </w:r>
          </w:p>
        </w:tc>
        <w:tc>
          <w:tcPr>
            <w:tcW w:w="1584" w:type="dxa"/>
          </w:tcPr>
          <w:p>
            <w:pPr>
              <w:spacing w:after="0" w:before="0" w:line="240" w:lineRule="auto"/>
            </w:pPr>
            <w:r>
              <w:rPr>
                <w:b w:val="0"/>
                <w:sz w:val="17"/>
              </w:rPr>
              <w:t>CRM-F-012</w:t>
            </w:r>
          </w:p>
        </w:tc>
      </w:tr>
    </w:tbl>
    <w:p/>
    <w:p>
      <w:pPr>
        <w:pStyle w:val="Heading2"/>
        <w:keepNext/>
      </w:pPr>
      <w:r>
        <w:t>3.5 Chosen Architecture Pattern and Rationale</w:t>
      </w:r>
    </w:p>
    <w:p>
      <w:r>
        <w:rPr>
          <w:i w:val="0"/>
        </w:rPr>
        <w:t>Pattern: a three-tier, layered modular monolith. Tier 1 is the React SPA; tier 2 is one Express API split into domain modules; tier 3 is PostgreSQL. Inside each module the layers are Router -&gt; Controller -&gt; Service -&gt; Repository, and only the Service layer may be called by another module.</w:t>
      </w:r>
    </w:p>
    <w:tbl>
      <w:tblPr>
        <w:tblW w:w="86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80" w:type="dxa"/>
          <w:right w:w="80" w:type="dxa"/>
        </w:tblCellMar>
        <w:tblLook w:val="0400"/>
      </w:tblPr>
      <w:tblGrid>
        <w:gridCol w:w="863"/>
        <w:gridCol w:w="1974"/>
        <w:gridCol w:w="1974"/>
        <w:gridCol w:w="3829"/>
      </w:tblGrid>
      <w:tr>
        <w:trPr>
          <w:tblHeader/>
        </w:trPr>
        <w:tc>
          <w:tcPr>
            <w:tcW w:w="863" w:type="dxa"/>
            <w:shd w:val="clear" w:color="auto" w:fill="D9D9D9"/>
          </w:tcPr>
          <w:p>
            <w:pPr>
              <w:spacing w:after="0" w:before="0" w:line="240" w:lineRule="auto"/>
            </w:pPr>
            <w:r>
              <w:rPr>
                <w:b/>
                <w:sz w:val="17"/>
              </w:rPr>
              <w:t>ADR</w:t>
            </w:r>
          </w:p>
        </w:tc>
        <w:tc>
          <w:tcPr>
            <w:tcW w:w="1974" w:type="dxa"/>
            <w:shd w:val="clear" w:color="auto" w:fill="D9D9D9"/>
          </w:tcPr>
          <w:p>
            <w:pPr>
              <w:spacing w:after="0" w:before="0" w:line="240" w:lineRule="auto"/>
            </w:pPr>
            <w:r>
              <w:rPr>
                <w:b/>
                <w:sz w:val="17"/>
              </w:rPr>
              <w:t>Decision</w:t>
            </w:r>
          </w:p>
        </w:tc>
        <w:tc>
          <w:tcPr>
            <w:tcW w:w="1974" w:type="dxa"/>
            <w:shd w:val="clear" w:color="auto" w:fill="D9D9D9"/>
          </w:tcPr>
          <w:p>
            <w:pPr>
              <w:spacing w:after="0" w:before="0" w:line="240" w:lineRule="auto"/>
            </w:pPr>
            <w:r>
              <w:rPr>
                <w:b/>
                <w:sz w:val="17"/>
              </w:rPr>
              <w:t>Alternatives considered</w:t>
            </w:r>
          </w:p>
        </w:tc>
        <w:tc>
          <w:tcPr>
            <w:tcW w:w="3829" w:type="dxa"/>
            <w:shd w:val="clear" w:color="auto" w:fill="D9D9D9"/>
          </w:tcPr>
          <w:p>
            <w:pPr>
              <w:spacing w:after="0" w:before="0" w:line="240" w:lineRule="auto"/>
            </w:pPr>
            <w:r>
              <w:rPr>
                <w:b/>
                <w:sz w:val="17"/>
              </w:rPr>
              <w:t>Rationale</w:t>
            </w:r>
          </w:p>
        </w:tc>
      </w:tr>
      <w:tr>
        <w:tc>
          <w:tcPr>
            <w:tcW w:w="863" w:type="dxa"/>
          </w:tcPr>
          <w:p>
            <w:pPr>
              <w:spacing w:after="0" w:before="0" w:line="240" w:lineRule="auto"/>
            </w:pPr>
            <w:r>
              <w:rPr>
                <w:b w:val="0"/>
                <w:sz w:val="17"/>
              </w:rPr>
              <w:t>ADR-1</w:t>
            </w:r>
          </w:p>
        </w:tc>
        <w:tc>
          <w:tcPr>
            <w:tcW w:w="1974" w:type="dxa"/>
          </w:tcPr>
          <w:p>
            <w:pPr>
              <w:spacing w:after="0" w:before="0" w:line="240" w:lineRule="auto"/>
            </w:pPr>
            <w:r>
              <w:rPr>
                <w:b w:val="0"/>
                <w:sz w:val="17"/>
              </w:rPr>
              <w:t>Layered modular monolith</w:t>
            </w:r>
          </w:p>
        </w:tc>
        <w:tc>
          <w:tcPr>
            <w:tcW w:w="1974" w:type="dxa"/>
          </w:tcPr>
          <w:p>
            <w:pPr>
              <w:spacing w:after="0" w:before="0" w:line="240" w:lineRule="auto"/>
            </w:pPr>
            <w:r>
              <w:rPr>
                <w:b w:val="0"/>
                <w:sz w:val="17"/>
              </w:rPr>
              <w:t>Microservices; serverless functions</w:t>
            </w:r>
          </w:p>
        </w:tc>
        <w:tc>
          <w:tcPr>
            <w:tcW w:w="3829" w:type="dxa"/>
          </w:tcPr>
          <w:p>
            <w:pPr>
              <w:spacing w:after="0" w:before="0" w:line="240" w:lineRule="auto"/>
            </w:pPr>
            <w:r>
              <w:rPr>
                <w:b w:val="0"/>
                <w:sz w:val="17"/>
              </w:rPr>
              <w:t>One deployable and one database suit four developers and two sprints; module boundaries keep the code organised and allow later extraction</w:t>
            </w:r>
          </w:p>
        </w:tc>
      </w:tr>
      <w:tr>
        <w:tc>
          <w:tcPr>
            <w:tcW w:w="863" w:type="dxa"/>
          </w:tcPr>
          <w:p>
            <w:pPr>
              <w:spacing w:after="0" w:before="0" w:line="240" w:lineRule="auto"/>
            </w:pPr>
            <w:r>
              <w:rPr>
                <w:b w:val="0"/>
                <w:sz w:val="17"/>
              </w:rPr>
              <w:t>ADR-2</w:t>
            </w:r>
          </w:p>
        </w:tc>
        <w:tc>
          <w:tcPr>
            <w:tcW w:w="1974" w:type="dxa"/>
          </w:tcPr>
          <w:p>
            <w:pPr>
              <w:spacing w:after="0" w:before="0" w:line="240" w:lineRule="auto"/>
            </w:pPr>
            <w:r>
              <w:rPr>
                <w:b w:val="0"/>
                <w:sz w:val="17"/>
              </w:rPr>
              <w:t>PostgreSQL (relational)</w:t>
            </w:r>
          </w:p>
        </w:tc>
        <w:tc>
          <w:tcPr>
            <w:tcW w:w="1974" w:type="dxa"/>
          </w:tcPr>
          <w:p>
            <w:pPr>
              <w:spacing w:after="0" w:before="0" w:line="240" w:lineRule="auto"/>
            </w:pPr>
            <w:r>
              <w:rPr>
                <w:b w:val="0"/>
                <w:sz w:val="17"/>
              </w:rPr>
              <w:t>MongoDB</w:t>
            </w:r>
          </w:p>
        </w:tc>
        <w:tc>
          <w:tcPr>
            <w:tcW w:w="3829" w:type="dxa"/>
          </w:tcPr>
          <w:p>
            <w:pPr>
              <w:spacing w:after="0" w:before="0" w:line="240" w:lineRule="auto"/>
            </w:pPr>
            <w:r>
              <w:rPr>
                <w:b w:val="0"/>
                <w:sz w:val="17"/>
              </w:rPr>
              <w:t>CRM data is highly relational; lead conversion and redemption need ACID transactions</w:t>
            </w:r>
          </w:p>
        </w:tc>
      </w:tr>
      <w:tr>
        <w:tc>
          <w:tcPr>
            <w:tcW w:w="863" w:type="dxa"/>
          </w:tcPr>
          <w:p>
            <w:pPr>
              <w:spacing w:after="0" w:before="0" w:line="240" w:lineRule="auto"/>
            </w:pPr>
            <w:r>
              <w:rPr>
                <w:b w:val="0"/>
                <w:sz w:val="17"/>
              </w:rPr>
              <w:t>ADR-3</w:t>
            </w:r>
          </w:p>
        </w:tc>
        <w:tc>
          <w:tcPr>
            <w:tcW w:w="1974" w:type="dxa"/>
          </w:tcPr>
          <w:p>
            <w:pPr>
              <w:spacing w:after="0" w:before="0" w:line="240" w:lineRule="auto"/>
            </w:pPr>
            <w:r>
              <w:rPr>
                <w:b w:val="0"/>
                <w:sz w:val="17"/>
              </w:rPr>
              <w:t>Append-only points ledger</w:t>
            </w:r>
          </w:p>
        </w:tc>
        <w:tc>
          <w:tcPr>
            <w:tcW w:w="1974" w:type="dxa"/>
          </w:tcPr>
          <w:p>
            <w:pPr>
              <w:spacing w:after="0" w:before="0" w:line="240" w:lineRule="auto"/>
            </w:pPr>
            <w:r>
              <w:rPr>
                <w:b w:val="0"/>
                <w:sz w:val="17"/>
              </w:rPr>
              <w:t>Single balance column</w:t>
            </w:r>
          </w:p>
        </w:tc>
        <w:tc>
          <w:tcPr>
            <w:tcW w:w="3829" w:type="dxa"/>
          </w:tcPr>
          <w:p>
            <w:pPr>
              <w:spacing w:after="0" w:before="0" w:line="240" w:lineRule="auto"/>
            </w:pPr>
            <w:r>
              <w:rPr>
                <w:b w:val="0"/>
                <w:sz w:val="17"/>
              </w:rPr>
              <w:t>Full history for audit, easy tier recalculation, prevents silent balance edits</w:t>
            </w:r>
          </w:p>
        </w:tc>
      </w:tr>
      <w:tr>
        <w:tc>
          <w:tcPr>
            <w:tcW w:w="863" w:type="dxa"/>
          </w:tcPr>
          <w:p>
            <w:pPr>
              <w:spacing w:after="0" w:before="0" w:line="240" w:lineRule="auto"/>
            </w:pPr>
            <w:r>
              <w:rPr>
                <w:b w:val="0"/>
                <w:sz w:val="17"/>
              </w:rPr>
              <w:t>ADR-4</w:t>
            </w:r>
          </w:p>
        </w:tc>
        <w:tc>
          <w:tcPr>
            <w:tcW w:w="1974" w:type="dxa"/>
          </w:tcPr>
          <w:p>
            <w:pPr>
              <w:spacing w:after="0" w:before="0" w:line="240" w:lineRule="auto"/>
            </w:pPr>
            <w:r>
              <w:rPr>
                <w:b w:val="0"/>
                <w:sz w:val="17"/>
              </w:rPr>
              <w:t>JWT (stateless) auth</w:t>
            </w:r>
          </w:p>
        </w:tc>
        <w:tc>
          <w:tcPr>
            <w:tcW w:w="1974" w:type="dxa"/>
          </w:tcPr>
          <w:p>
            <w:pPr>
              <w:spacing w:after="0" w:before="0" w:line="240" w:lineRule="auto"/>
            </w:pPr>
            <w:r>
              <w:rPr>
                <w:b w:val="0"/>
                <w:sz w:val="17"/>
              </w:rPr>
              <w:t>Server sessions</w:t>
            </w:r>
          </w:p>
        </w:tc>
        <w:tc>
          <w:tcPr>
            <w:tcW w:w="3829" w:type="dxa"/>
          </w:tcPr>
          <w:p>
            <w:pPr>
              <w:spacing w:after="0" w:before="0" w:line="240" w:lineRule="auto"/>
            </w:pPr>
            <w:r>
              <w:rPr>
                <w:b w:val="0"/>
                <w:sz w:val="17"/>
              </w:rPr>
              <w:t>Simple horizontal scaling and a clean API for the SPA</w:t>
            </w:r>
          </w:p>
        </w:tc>
      </w:tr>
      <w:tr>
        <w:tc>
          <w:tcPr>
            <w:tcW w:w="863" w:type="dxa"/>
          </w:tcPr>
          <w:p>
            <w:pPr>
              <w:spacing w:after="0" w:before="0" w:line="240" w:lineRule="auto"/>
            </w:pPr>
            <w:r>
              <w:rPr>
                <w:b w:val="0"/>
                <w:sz w:val="17"/>
              </w:rPr>
              <w:t>ADR-5</w:t>
            </w:r>
          </w:p>
        </w:tc>
        <w:tc>
          <w:tcPr>
            <w:tcW w:w="1974" w:type="dxa"/>
          </w:tcPr>
          <w:p>
            <w:pPr>
              <w:spacing w:after="0" w:before="0" w:line="240" w:lineRule="auto"/>
            </w:pPr>
            <w:r>
              <w:rPr>
                <w:b w:val="0"/>
                <w:sz w:val="17"/>
              </w:rPr>
              <w:t>Simulated campaign sends behind an interface</w:t>
            </w:r>
          </w:p>
        </w:tc>
        <w:tc>
          <w:tcPr>
            <w:tcW w:w="1974" w:type="dxa"/>
          </w:tcPr>
          <w:p>
            <w:pPr>
              <w:spacing w:after="0" w:before="0" w:line="240" w:lineRule="auto"/>
            </w:pPr>
            <w:r>
              <w:rPr>
                <w:b w:val="0"/>
                <w:sz w:val="17"/>
              </w:rPr>
              <w:t>Real email/SMS provider</w:t>
            </w:r>
          </w:p>
        </w:tc>
        <w:tc>
          <w:tcPr>
            <w:tcW w:w="3829" w:type="dxa"/>
          </w:tcPr>
          <w:p>
            <w:pPr>
              <w:spacing w:after="0" w:before="0" w:line="240" w:lineRule="auto"/>
            </w:pPr>
            <w:r>
              <w:rPr>
                <w:b w:val="0"/>
                <w:sz w:val="17"/>
              </w:rPr>
              <w:t>Out of scope and costly; a real adapter can be added without changing modules</w:t>
            </w:r>
          </w:p>
        </w:tc>
      </w:tr>
    </w:tbl>
    <w:p/>
    <w:p>
      <w:pPr>
        <w:pStyle w:val="Heading2"/>
        <w:keepNext/>
      </w:pPr>
      <w:r>
        <w:t>3.6 Technology Stack &amp; Data Stores</w:t>
      </w:r>
    </w:p>
    <w:tbl>
      <w:tblPr>
        <w:tblW w:w="86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80" w:type="dxa"/>
          <w:right w:w="80" w:type="dxa"/>
        </w:tblCellMar>
        <w:tblLook w:val="0400"/>
      </w:tblPr>
      <w:tblGrid>
        <w:gridCol w:w="1974"/>
        <w:gridCol w:w="6666"/>
      </w:tblGrid>
      <w:tr>
        <w:trPr>
          <w:tblHeader/>
        </w:trPr>
        <w:tc>
          <w:tcPr>
            <w:tcW w:w="1974" w:type="dxa"/>
            <w:shd w:val="clear" w:color="auto" w:fill="D9D9D9"/>
          </w:tcPr>
          <w:p>
            <w:pPr>
              <w:spacing w:after="0" w:before="0" w:line="240" w:lineRule="auto"/>
            </w:pPr>
            <w:r>
              <w:rPr>
                <w:b/>
                <w:sz w:val="18"/>
              </w:rPr>
              <w:t>Layer</w:t>
            </w:r>
          </w:p>
        </w:tc>
        <w:tc>
          <w:tcPr>
            <w:tcW w:w="6666" w:type="dxa"/>
            <w:shd w:val="clear" w:color="auto" w:fill="D9D9D9"/>
          </w:tcPr>
          <w:p>
            <w:pPr>
              <w:spacing w:after="0" w:before="0" w:line="240" w:lineRule="auto"/>
            </w:pPr>
            <w:r>
              <w:rPr>
                <w:b/>
                <w:sz w:val="18"/>
              </w:rPr>
              <w:t>Technology</w:t>
            </w:r>
          </w:p>
        </w:tc>
      </w:tr>
      <w:tr>
        <w:tc>
          <w:tcPr>
            <w:tcW w:w="1974" w:type="dxa"/>
          </w:tcPr>
          <w:p>
            <w:pPr>
              <w:spacing w:after="0" w:before="0" w:line="240" w:lineRule="auto"/>
            </w:pPr>
            <w:r>
              <w:rPr>
                <w:b w:val="0"/>
                <w:sz w:val="18"/>
              </w:rPr>
              <w:t>Frontend</w:t>
            </w:r>
          </w:p>
        </w:tc>
        <w:tc>
          <w:tcPr>
            <w:tcW w:w="6666" w:type="dxa"/>
          </w:tcPr>
          <w:p>
            <w:pPr>
              <w:spacing w:after="0" w:before="0" w:line="240" w:lineRule="auto"/>
            </w:pPr>
            <w:r>
              <w:rPr>
                <w:b w:val="0"/>
                <w:sz w:val="18"/>
              </w:rPr>
              <w:t>React 18, Vite, TypeScript, Tailwind CSS, shadcn/ui, TanStack Query, React Router, React Hook Form + Zod, Recharts, dnd-kit</w:t>
            </w:r>
          </w:p>
        </w:tc>
      </w:tr>
      <w:tr>
        <w:tc>
          <w:tcPr>
            <w:tcW w:w="1974" w:type="dxa"/>
          </w:tcPr>
          <w:p>
            <w:pPr>
              <w:spacing w:after="0" w:before="0" w:line="240" w:lineRule="auto"/>
            </w:pPr>
            <w:r>
              <w:rPr>
                <w:b w:val="0"/>
                <w:sz w:val="18"/>
              </w:rPr>
              <w:t>Backend</w:t>
            </w:r>
          </w:p>
        </w:tc>
        <w:tc>
          <w:tcPr>
            <w:tcW w:w="6666" w:type="dxa"/>
          </w:tcPr>
          <w:p>
            <w:pPr>
              <w:spacing w:after="0" w:before="0" w:line="240" w:lineRule="auto"/>
            </w:pPr>
            <w:r>
              <w:rPr>
                <w:b w:val="0"/>
                <w:sz w:val="18"/>
              </w:rPr>
              <w:t>Node.js 20 LTS, Express, TypeScript, Zod, jsonwebtoken, bcrypt, helmet, express-rate-limit, pino</w:t>
            </w:r>
          </w:p>
        </w:tc>
      </w:tr>
      <w:tr>
        <w:tc>
          <w:tcPr>
            <w:tcW w:w="1974" w:type="dxa"/>
          </w:tcPr>
          <w:p>
            <w:pPr>
              <w:spacing w:after="0" w:before="0" w:line="240" w:lineRule="auto"/>
            </w:pPr>
            <w:r>
              <w:rPr>
                <w:b w:val="0"/>
                <w:sz w:val="18"/>
              </w:rPr>
              <w:t>Data store</w:t>
            </w:r>
          </w:p>
        </w:tc>
        <w:tc>
          <w:tcPr>
            <w:tcW w:w="6666" w:type="dxa"/>
          </w:tcPr>
          <w:p>
            <w:pPr>
              <w:spacing w:after="0" w:before="0" w:line="240" w:lineRule="auto"/>
            </w:pPr>
            <w:r>
              <w:rPr>
                <w:b w:val="0"/>
                <w:sz w:val="18"/>
              </w:rPr>
              <w:t>PostgreSQL 16 via Prisma ORM (migrations in Git); daily managed backups on Render</w:t>
            </w:r>
          </w:p>
        </w:tc>
      </w:tr>
      <w:tr>
        <w:tc>
          <w:tcPr>
            <w:tcW w:w="1974" w:type="dxa"/>
          </w:tcPr>
          <w:p>
            <w:pPr>
              <w:spacing w:after="0" w:before="0" w:line="240" w:lineRule="auto"/>
            </w:pPr>
            <w:r>
              <w:rPr>
                <w:b w:val="0"/>
                <w:sz w:val="18"/>
              </w:rPr>
              <w:t>Testing</w:t>
            </w:r>
          </w:p>
        </w:tc>
        <w:tc>
          <w:tcPr>
            <w:tcW w:w="6666" w:type="dxa"/>
          </w:tcPr>
          <w:p>
            <w:pPr>
              <w:spacing w:after="0" w:before="0" w:line="240" w:lineRule="auto"/>
            </w:pPr>
            <w:r>
              <w:rPr>
                <w:b w:val="0"/>
                <w:sz w:val="18"/>
              </w:rPr>
              <w:t>Jest + Supertest, Vitest + React Testing Library, Playwright, k6, Lighthouse CI, OWASP ZAP</w:t>
            </w:r>
          </w:p>
        </w:tc>
      </w:tr>
      <w:tr>
        <w:tc>
          <w:tcPr>
            <w:tcW w:w="1974" w:type="dxa"/>
          </w:tcPr>
          <w:p>
            <w:pPr>
              <w:spacing w:after="0" w:before="0" w:line="240" w:lineRule="auto"/>
            </w:pPr>
            <w:r>
              <w:rPr>
                <w:b w:val="0"/>
                <w:sz w:val="18"/>
              </w:rPr>
              <w:t>DevOps</w:t>
            </w:r>
          </w:p>
        </w:tc>
        <w:tc>
          <w:tcPr>
            <w:tcW w:w="6666" w:type="dxa"/>
          </w:tcPr>
          <w:p>
            <w:pPr>
              <w:spacing w:after="0" w:before="0" w:line="240" w:lineRule="auto"/>
            </w:pPr>
            <w:r>
              <w:rPr>
                <w:b w:val="0"/>
                <w:sz w:val="18"/>
              </w:rPr>
              <w:t>Docker, Docker Compose, GitHub Actions (CI and CD), GitHub Container Registry, Vercel (web), Render (API + DB)</w:t>
            </w:r>
          </w:p>
        </w:tc>
      </w:tr>
      <w:tr>
        <w:tc>
          <w:tcPr>
            <w:tcW w:w="1974" w:type="dxa"/>
          </w:tcPr>
          <w:p>
            <w:pPr>
              <w:spacing w:after="0" w:before="0" w:line="240" w:lineRule="auto"/>
            </w:pPr>
            <w:r>
              <w:rPr>
                <w:b w:val="0"/>
                <w:sz w:val="18"/>
              </w:rPr>
              <w:t>Project management</w:t>
            </w:r>
          </w:p>
        </w:tc>
        <w:tc>
          <w:tcPr>
            <w:tcW w:w="6666" w:type="dxa"/>
          </w:tcPr>
          <w:p>
            <w:pPr>
              <w:spacing w:after="0" w:before="0" w:line="240" w:lineRule="auto"/>
            </w:pPr>
            <w:r>
              <w:rPr>
                <w:b w:val="0"/>
                <w:sz w:val="18"/>
              </w:rPr>
              <w:t>Jira Software (Scrum board, burndown) linked to GitHub with the GitHub for Jira app</w:t>
            </w:r>
          </w:p>
        </w:tc>
      </w:tr>
    </w:tbl>
    <w:p/>
    <w:p>
      <w:pPr>
        <w:pStyle w:val="Heading2"/>
        <w:keepNext/>
      </w:pPr>
      <w:r>
        <w:t>3.7 Risks &amp; Mitigations</w:t>
      </w:r>
    </w:p>
    <w:tbl>
      <w:tblPr>
        <w:tblW w:w="86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80" w:type="dxa"/>
          <w:right w:w="80" w:type="dxa"/>
        </w:tblCellMar>
        <w:tblLook w:val="0400"/>
      </w:tblPr>
      <w:tblGrid>
        <w:gridCol w:w="2715"/>
        <w:gridCol w:w="2221"/>
        <w:gridCol w:w="3704"/>
      </w:tblGrid>
      <w:tr>
        <w:trPr>
          <w:tblHeader/>
        </w:trPr>
        <w:tc>
          <w:tcPr>
            <w:tcW w:w="2715" w:type="dxa"/>
            <w:shd w:val="clear" w:color="auto" w:fill="D9D9D9"/>
          </w:tcPr>
          <w:p>
            <w:pPr>
              <w:spacing w:after="0" w:before="0" w:line="240" w:lineRule="auto"/>
            </w:pPr>
            <w:r>
              <w:rPr>
                <w:b/>
                <w:sz w:val="18"/>
              </w:rPr>
              <w:t>Risk</w:t>
            </w:r>
          </w:p>
        </w:tc>
        <w:tc>
          <w:tcPr>
            <w:tcW w:w="2221" w:type="dxa"/>
            <w:shd w:val="clear" w:color="auto" w:fill="D9D9D9"/>
          </w:tcPr>
          <w:p>
            <w:pPr>
              <w:spacing w:after="0" w:before="0" w:line="240" w:lineRule="auto"/>
            </w:pPr>
            <w:r>
              <w:rPr>
                <w:b/>
                <w:sz w:val="18"/>
              </w:rPr>
              <w:t>Impact</w:t>
            </w:r>
          </w:p>
        </w:tc>
        <w:tc>
          <w:tcPr>
            <w:tcW w:w="3704" w:type="dxa"/>
            <w:shd w:val="clear" w:color="auto" w:fill="D9D9D9"/>
          </w:tcPr>
          <w:p>
            <w:pPr>
              <w:spacing w:after="0" w:before="0" w:line="240" w:lineRule="auto"/>
            </w:pPr>
            <w:r>
              <w:rPr>
                <w:b/>
                <w:sz w:val="18"/>
              </w:rPr>
              <w:t>Mitigation</w:t>
            </w:r>
          </w:p>
        </w:tc>
      </w:tr>
      <w:tr>
        <w:tc>
          <w:tcPr>
            <w:tcW w:w="2715" w:type="dxa"/>
          </w:tcPr>
          <w:p>
            <w:pPr>
              <w:spacing w:after="0" w:before="0" w:line="240" w:lineRule="auto"/>
            </w:pPr>
            <w:r>
              <w:rPr>
                <w:b w:val="0"/>
                <w:sz w:val="18"/>
              </w:rPr>
              <w:t>Free-tier hosting sleeps or is slow</w:t>
            </w:r>
          </w:p>
        </w:tc>
        <w:tc>
          <w:tcPr>
            <w:tcW w:w="2221" w:type="dxa"/>
          </w:tcPr>
          <w:p>
            <w:pPr>
              <w:spacing w:after="0" w:before="0" w:line="240" w:lineRule="auto"/>
            </w:pPr>
            <w:r>
              <w:rPr>
                <w:b w:val="0"/>
                <w:sz w:val="18"/>
              </w:rPr>
              <w:t>Demo or performance tests affected</w:t>
            </w:r>
          </w:p>
        </w:tc>
        <w:tc>
          <w:tcPr>
            <w:tcW w:w="3704" w:type="dxa"/>
          </w:tcPr>
          <w:p>
            <w:pPr>
              <w:spacing w:after="0" w:before="0" w:line="240" w:lineRule="auto"/>
            </w:pPr>
            <w:r>
              <w:rPr>
                <w:b w:val="0"/>
                <w:sz w:val="18"/>
              </w:rPr>
              <w:t>Warm-up request before demos and k6 runs; health monitor; record tier in results</w:t>
            </w:r>
          </w:p>
        </w:tc>
      </w:tr>
      <w:tr>
        <w:tc>
          <w:tcPr>
            <w:tcW w:w="2715" w:type="dxa"/>
          </w:tcPr>
          <w:p>
            <w:pPr>
              <w:spacing w:after="0" w:before="0" w:line="240" w:lineRule="auto"/>
            </w:pPr>
            <w:r>
              <w:rPr>
                <w:b w:val="0"/>
                <w:sz w:val="18"/>
              </w:rPr>
              <w:t>Short sprints leave features unfinished</w:t>
            </w:r>
          </w:p>
        </w:tc>
        <w:tc>
          <w:tcPr>
            <w:tcW w:w="2221" w:type="dxa"/>
          </w:tcPr>
          <w:p>
            <w:pPr>
              <w:spacing w:after="0" w:before="0" w:line="240" w:lineRule="auto"/>
            </w:pPr>
            <w:r>
              <w:rPr>
                <w:b w:val="0"/>
                <w:sz w:val="18"/>
              </w:rPr>
              <w:t>Must requirements missed</w:t>
            </w:r>
          </w:p>
        </w:tc>
        <w:tc>
          <w:tcPr>
            <w:tcW w:w="3704" w:type="dxa"/>
          </w:tcPr>
          <w:p>
            <w:pPr>
              <w:spacing w:after="0" w:before="0" w:line="240" w:lineRule="auto"/>
            </w:pPr>
            <w:r>
              <w:rPr>
                <w:b w:val="0"/>
                <w:sz w:val="18"/>
              </w:rPr>
              <w:t>Must items scheduled first; Low items (quote, referral, audit, churn) dropped first and logged as deviations</w:t>
            </w:r>
          </w:p>
        </w:tc>
      </w:tr>
      <w:tr>
        <w:tc>
          <w:tcPr>
            <w:tcW w:w="2715" w:type="dxa"/>
          </w:tcPr>
          <w:p>
            <w:pPr>
              <w:spacing w:after="0" w:before="0" w:line="240" w:lineRule="auto"/>
            </w:pPr>
            <w:r>
              <w:rPr>
                <w:b w:val="0"/>
                <w:sz w:val="18"/>
              </w:rPr>
              <w:t>Partial writes during conversion or redemption</w:t>
            </w:r>
          </w:p>
        </w:tc>
        <w:tc>
          <w:tcPr>
            <w:tcW w:w="2221" w:type="dxa"/>
          </w:tcPr>
          <w:p>
            <w:pPr>
              <w:spacing w:after="0" w:before="0" w:line="240" w:lineRule="auto"/>
            </w:pPr>
            <w:r>
              <w:rPr>
                <w:b w:val="0"/>
                <w:sz w:val="18"/>
              </w:rPr>
              <w:t>Inconsistent data, negative points</w:t>
            </w:r>
          </w:p>
        </w:tc>
        <w:tc>
          <w:tcPr>
            <w:tcW w:w="3704" w:type="dxa"/>
          </w:tcPr>
          <w:p>
            <w:pPr>
              <w:spacing w:after="0" w:before="0" w:line="240" w:lineRule="auto"/>
            </w:pPr>
            <w:r>
              <w:rPr>
                <w:b w:val="0"/>
                <w:sz w:val="18"/>
              </w:rPr>
              <w:t>Database transactions with row locks; tests TC-CONV-06 and TC-OPS-04</w:t>
            </w:r>
          </w:p>
        </w:tc>
      </w:tr>
      <w:tr>
        <w:tc>
          <w:tcPr>
            <w:tcW w:w="2715" w:type="dxa"/>
          </w:tcPr>
          <w:p>
            <w:pPr>
              <w:spacing w:after="0" w:before="0" w:line="240" w:lineRule="auto"/>
            </w:pPr>
            <w:r>
              <w:rPr>
                <w:b w:val="0"/>
                <w:sz w:val="18"/>
              </w:rPr>
              <w:t>Secrets leaked in repository</w:t>
            </w:r>
          </w:p>
        </w:tc>
        <w:tc>
          <w:tcPr>
            <w:tcW w:w="2221" w:type="dxa"/>
          </w:tcPr>
          <w:p>
            <w:pPr>
              <w:spacing w:after="0" w:before="0" w:line="240" w:lineRule="auto"/>
            </w:pPr>
            <w:r>
              <w:rPr>
                <w:b w:val="0"/>
                <w:sz w:val="18"/>
              </w:rPr>
              <w:t>Account compromise</w:t>
            </w:r>
          </w:p>
        </w:tc>
        <w:tc>
          <w:tcPr>
            <w:tcW w:w="3704" w:type="dxa"/>
          </w:tcPr>
          <w:p>
            <w:pPr>
              <w:spacing w:after="0" w:before="0" w:line="240" w:lineRule="auto"/>
            </w:pPr>
            <w:r>
              <w:rPr>
                <w:b w:val="0"/>
                <w:sz w:val="18"/>
              </w:rPr>
              <w:t>Secrets only in GitHub/Render/Vercel settings; .env in .gitignore; secret scanning enabled</w:t>
            </w:r>
          </w:p>
        </w:tc>
      </w:tr>
      <w:tr>
        <w:tc>
          <w:tcPr>
            <w:tcW w:w="2715" w:type="dxa"/>
          </w:tcPr>
          <w:p>
            <w:pPr>
              <w:spacing w:after="0" w:before="0" w:line="240" w:lineRule="auto"/>
            </w:pPr>
            <w:r>
              <w:rPr>
                <w:b w:val="0"/>
                <w:sz w:val="18"/>
              </w:rPr>
              <w:t>Broken build deployed</w:t>
            </w:r>
          </w:p>
        </w:tc>
        <w:tc>
          <w:tcPr>
            <w:tcW w:w="2221" w:type="dxa"/>
          </w:tcPr>
          <w:p>
            <w:pPr>
              <w:spacing w:after="0" w:before="0" w:line="240" w:lineRule="auto"/>
            </w:pPr>
            <w:r>
              <w:rPr>
                <w:b w:val="0"/>
                <w:sz w:val="18"/>
              </w:rPr>
              <w:t>Demo URL down</w:t>
            </w:r>
          </w:p>
        </w:tc>
        <w:tc>
          <w:tcPr>
            <w:tcW w:w="3704" w:type="dxa"/>
          </w:tcPr>
          <w:p>
            <w:pPr>
              <w:spacing w:after="0" w:before="0" w:line="240" w:lineRule="auto"/>
            </w:pPr>
            <w:r>
              <w:rPr>
                <w:b w:val="0"/>
                <w:sz w:val="18"/>
              </w:rPr>
              <w:t>CI gate with branch protection; smoke test and automatic rollback in CD</w:t>
            </w:r>
          </w:p>
        </w:tc>
      </w:tr>
    </w:tbl>
    <w:p/>
    <w:p>
      <w:pPr>
        <w:pStyle w:val="Heading2"/>
        <w:keepNext/>
      </w:pPr>
      <w:r>
        <w:t>3.8 Traceability to Requirements</w:t>
      </w:r>
    </w:p>
    <w:p>
      <w:r>
        <w:rPr>
          <w:i w:val="0"/>
        </w:rPr>
        <w:t>Each functional requirement group maps to one module; NFRs and security requirements map to cross-cutting components.</w:t>
      </w:r>
    </w:p>
    <w:tbl>
      <w:tblPr>
        <w:tblW w:w="86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80" w:type="dxa"/>
          <w:right w:w="80" w:type="dxa"/>
        </w:tblCellMar>
        <w:tblLook w:val="0400"/>
      </w:tblPr>
      <w:tblGrid>
        <w:gridCol w:w="2715"/>
        <w:gridCol w:w="5925"/>
      </w:tblGrid>
      <w:tr>
        <w:trPr>
          <w:tblHeader/>
        </w:trPr>
        <w:tc>
          <w:tcPr>
            <w:tcW w:w="2715" w:type="dxa"/>
            <w:shd w:val="clear" w:color="auto" w:fill="D9D9D9"/>
          </w:tcPr>
          <w:p>
            <w:pPr>
              <w:spacing w:after="0" w:before="0" w:line="240" w:lineRule="auto"/>
            </w:pPr>
            <w:r>
              <w:rPr>
                <w:b/>
                <w:sz w:val="18"/>
              </w:rPr>
              <w:t>Requirements</w:t>
            </w:r>
          </w:p>
        </w:tc>
        <w:tc>
          <w:tcPr>
            <w:tcW w:w="5925" w:type="dxa"/>
            <w:shd w:val="clear" w:color="auto" w:fill="D9D9D9"/>
          </w:tcPr>
          <w:p>
            <w:pPr>
              <w:spacing w:after="0" w:before="0" w:line="240" w:lineRule="auto"/>
            </w:pPr>
            <w:r>
              <w:rPr>
                <w:b/>
                <w:sz w:val="18"/>
              </w:rPr>
              <w:t>Component / design element</w:t>
            </w:r>
          </w:p>
        </w:tc>
      </w:tr>
      <w:tr>
        <w:tc>
          <w:tcPr>
            <w:tcW w:w="2715" w:type="dxa"/>
          </w:tcPr>
          <w:p>
            <w:pPr>
              <w:spacing w:after="0" w:before="0" w:line="240" w:lineRule="auto"/>
            </w:pPr>
            <w:r>
              <w:rPr>
                <w:b w:val="0"/>
                <w:sz w:val="18"/>
              </w:rPr>
              <w:t>CRM-F-001..003</w:t>
            </w:r>
          </w:p>
        </w:tc>
        <w:tc>
          <w:tcPr>
            <w:tcW w:w="5925" w:type="dxa"/>
          </w:tcPr>
          <w:p>
            <w:pPr>
              <w:spacing w:after="0" w:before="0" w:line="240" w:lineRule="auto"/>
            </w:pPr>
            <w:r>
              <w:rPr>
                <w:b w:val="0"/>
                <w:sz w:val="18"/>
              </w:rPr>
              <w:t>Auth Module, Security Middleware</w:t>
            </w:r>
          </w:p>
        </w:tc>
      </w:tr>
      <w:tr>
        <w:tc>
          <w:tcPr>
            <w:tcW w:w="2715" w:type="dxa"/>
          </w:tcPr>
          <w:p>
            <w:pPr>
              <w:spacing w:after="0" w:before="0" w:line="240" w:lineRule="auto"/>
            </w:pPr>
            <w:r>
              <w:rPr>
                <w:b w:val="0"/>
                <w:sz w:val="18"/>
              </w:rPr>
              <w:t>CRM-F-010..012</w:t>
            </w:r>
          </w:p>
        </w:tc>
        <w:tc>
          <w:tcPr>
            <w:tcW w:w="5925" w:type="dxa"/>
          </w:tcPr>
          <w:p>
            <w:pPr>
              <w:spacing w:after="0" w:before="0" w:line="240" w:lineRule="auto"/>
            </w:pPr>
            <w:r>
              <w:rPr>
                <w:b w:val="0"/>
                <w:sz w:val="18"/>
              </w:rPr>
              <w:t>Reach Module, NotificationService</w:t>
            </w:r>
          </w:p>
        </w:tc>
      </w:tr>
      <w:tr>
        <w:tc>
          <w:tcPr>
            <w:tcW w:w="2715" w:type="dxa"/>
          </w:tcPr>
          <w:p>
            <w:pPr>
              <w:spacing w:after="0" w:before="0" w:line="240" w:lineRule="auto"/>
            </w:pPr>
            <w:r>
              <w:rPr>
                <w:b w:val="0"/>
                <w:sz w:val="18"/>
              </w:rPr>
              <w:t>CRM-F-020..023</w:t>
            </w:r>
          </w:p>
        </w:tc>
        <w:tc>
          <w:tcPr>
            <w:tcW w:w="5925" w:type="dxa"/>
          </w:tcPr>
          <w:p>
            <w:pPr>
              <w:spacing w:after="0" w:before="0" w:line="240" w:lineRule="auto"/>
            </w:pPr>
            <w:r>
              <w:rPr>
                <w:b w:val="0"/>
                <w:sz w:val="18"/>
              </w:rPr>
              <w:t>Acquire Module (public lead endpoint)</w:t>
            </w:r>
          </w:p>
        </w:tc>
      </w:tr>
      <w:tr>
        <w:tc>
          <w:tcPr>
            <w:tcW w:w="2715" w:type="dxa"/>
          </w:tcPr>
          <w:p>
            <w:pPr>
              <w:spacing w:after="0" w:before="0" w:line="240" w:lineRule="auto"/>
            </w:pPr>
            <w:r>
              <w:rPr>
                <w:b w:val="0"/>
                <w:sz w:val="18"/>
              </w:rPr>
              <w:t>CRM-F-030..034</w:t>
            </w:r>
          </w:p>
        </w:tc>
        <w:tc>
          <w:tcPr>
            <w:tcW w:w="5925" w:type="dxa"/>
          </w:tcPr>
          <w:p>
            <w:pPr>
              <w:spacing w:after="0" w:before="0" w:line="240" w:lineRule="auto"/>
            </w:pPr>
            <w:r>
              <w:rPr>
                <w:b w:val="0"/>
                <w:sz w:val="18"/>
              </w:rPr>
              <w:t>Convert Module (Sequence Diagram 1 for CRM-F-032)</w:t>
            </w:r>
          </w:p>
        </w:tc>
      </w:tr>
      <w:tr>
        <w:tc>
          <w:tcPr>
            <w:tcW w:w="2715" w:type="dxa"/>
          </w:tcPr>
          <w:p>
            <w:pPr>
              <w:spacing w:after="0" w:before="0" w:line="240" w:lineRule="auto"/>
            </w:pPr>
            <w:r>
              <w:rPr>
                <w:b w:val="0"/>
                <w:sz w:val="18"/>
              </w:rPr>
              <w:t>CRM-F-040..042</w:t>
            </w:r>
          </w:p>
        </w:tc>
        <w:tc>
          <w:tcPr>
            <w:tcW w:w="5925" w:type="dxa"/>
          </w:tcPr>
          <w:p>
            <w:pPr>
              <w:spacing w:after="0" w:before="0" w:line="240" w:lineRule="auto"/>
            </w:pPr>
            <w:r>
              <w:rPr>
                <w:b w:val="0"/>
                <w:sz w:val="18"/>
              </w:rPr>
              <w:t>Retain Module</w:t>
            </w:r>
          </w:p>
        </w:tc>
      </w:tr>
      <w:tr>
        <w:tc>
          <w:tcPr>
            <w:tcW w:w="2715" w:type="dxa"/>
          </w:tcPr>
          <w:p>
            <w:pPr>
              <w:spacing w:after="0" w:before="0" w:line="240" w:lineRule="auto"/>
            </w:pPr>
            <w:r>
              <w:rPr>
                <w:b w:val="0"/>
                <w:sz w:val="18"/>
              </w:rPr>
              <w:t>CRM-F-050..053</w:t>
            </w:r>
          </w:p>
        </w:tc>
        <w:tc>
          <w:tcPr>
            <w:tcW w:w="5925" w:type="dxa"/>
          </w:tcPr>
          <w:p>
            <w:pPr>
              <w:spacing w:after="0" w:before="0" w:line="240" w:lineRule="auto"/>
            </w:pPr>
            <w:r>
              <w:rPr>
                <w:b w:val="0"/>
                <w:sz w:val="18"/>
              </w:rPr>
              <w:t>Loyalty Module (Sequence Diagram 2 for CRM-F-052)</w:t>
            </w:r>
          </w:p>
        </w:tc>
      </w:tr>
      <w:tr>
        <w:tc>
          <w:tcPr>
            <w:tcW w:w="2715" w:type="dxa"/>
          </w:tcPr>
          <w:p>
            <w:pPr>
              <w:spacing w:after="0" w:before="0" w:line="240" w:lineRule="auto"/>
            </w:pPr>
            <w:r>
              <w:rPr>
                <w:b w:val="0"/>
                <w:sz w:val="18"/>
              </w:rPr>
              <w:t>CRM-F-060..064</w:t>
            </w:r>
          </w:p>
        </w:tc>
        <w:tc>
          <w:tcPr>
            <w:tcW w:w="5925" w:type="dxa"/>
          </w:tcPr>
          <w:p>
            <w:pPr>
              <w:spacing w:after="0" w:before="0" w:line="240" w:lineRule="auto"/>
            </w:pPr>
            <w:r>
              <w:rPr>
                <w:b w:val="0"/>
                <w:sz w:val="18"/>
              </w:rPr>
              <w:t>Analytics Module, Common audit hook</w:t>
            </w:r>
          </w:p>
        </w:tc>
      </w:tr>
      <w:tr>
        <w:tc>
          <w:tcPr>
            <w:tcW w:w="2715" w:type="dxa"/>
          </w:tcPr>
          <w:p>
            <w:pPr>
              <w:spacing w:after="0" w:before="0" w:line="240" w:lineRule="auto"/>
            </w:pPr>
            <w:r>
              <w:rPr>
                <w:b w:val="0"/>
                <w:sz w:val="18"/>
              </w:rPr>
              <w:t>CRM-NF-001, 002, 008</w:t>
            </w:r>
          </w:p>
        </w:tc>
        <w:tc>
          <w:tcPr>
            <w:tcW w:w="5925" w:type="dxa"/>
          </w:tcPr>
          <w:p>
            <w:pPr>
              <w:spacing w:after="0" w:before="0" w:line="240" w:lineRule="auto"/>
            </w:pPr>
            <w:r>
              <w:rPr>
                <w:b w:val="0"/>
                <w:sz w:val="18"/>
              </w:rPr>
              <w:t>Pagination, indexes, aggregate SQL views, client caching</w:t>
            </w:r>
          </w:p>
        </w:tc>
      </w:tr>
      <w:tr>
        <w:tc>
          <w:tcPr>
            <w:tcW w:w="2715" w:type="dxa"/>
          </w:tcPr>
          <w:p>
            <w:pPr>
              <w:spacing w:after="0" w:before="0" w:line="240" w:lineRule="auto"/>
            </w:pPr>
            <w:r>
              <w:rPr>
                <w:b w:val="0"/>
                <w:sz w:val="18"/>
              </w:rPr>
              <w:t>CRM-NF-003, 009, 010</w:t>
            </w:r>
          </w:p>
        </w:tc>
        <w:tc>
          <w:tcPr>
            <w:tcW w:w="5925" w:type="dxa"/>
          </w:tcPr>
          <w:p>
            <w:pPr>
              <w:spacing w:after="0" w:before="0" w:line="240" w:lineRule="auto"/>
            </w:pPr>
            <w:r>
              <w:rPr>
                <w:b w:val="0"/>
                <w:sz w:val="18"/>
              </w:rPr>
              <w:t>Health endpoint, transactions, backups, CI/CD gate and rollback</w:t>
            </w:r>
          </w:p>
        </w:tc>
      </w:tr>
      <w:tr>
        <w:tc>
          <w:tcPr>
            <w:tcW w:w="2715" w:type="dxa"/>
          </w:tcPr>
          <w:p>
            <w:pPr>
              <w:spacing w:after="0" w:before="0" w:line="240" w:lineRule="auto"/>
            </w:pPr>
            <w:r>
              <w:rPr>
                <w:b w:val="0"/>
                <w:sz w:val="18"/>
              </w:rPr>
              <w:t>CRM-SR-001..007</w:t>
            </w:r>
          </w:p>
        </w:tc>
        <w:tc>
          <w:tcPr>
            <w:tcW w:w="5925" w:type="dxa"/>
          </w:tcPr>
          <w:p>
            <w:pPr>
              <w:spacing w:after="0" w:before="0" w:line="240" w:lineRule="auto"/>
            </w:pPr>
            <w:r>
              <w:rPr>
                <w:b w:val="0"/>
                <w:sz w:val="18"/>
              </w:rPr>
              <w:t>Security Middleware, Auth Module, consent filter in Reach Module (section 3.9)</w:t>
            </w:r>
          </w:p>
        </w:tc>
      </w:tr>
    </w:tbl>
    <w:p/>
    <w:p>
      <w:pPr>
        <w:pStyle w:val="Heading2"/>
        <w:keepNext/>
      </w:pPr>
      <w:r>
        <w:t>3.9 Security Architecture</w:t>
      </w:r>
    </w:p>
    <w:p>
      <w:r>
        <w:rPr>
          <w:i w:val="0"/>
        </w:rPr>
        <w:t>Threat modelling uses STRIDE against the main assets: customer personal data, user credentials, loyalty points and audit records.</w:t>
      </w:r>
    </w:p>
    <w:tbl>
      <w:tblPr>
        <w:tblW w:w="86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80" w:type="dxa"/>
          <w:right w:w="80" w:type="dxa"/>
        </w:tblCellMar>
        <w:tblLook w:val="0400"/>
      </w:tblPr>
      <w:tblGrid>
        <w:gridCol w:w="1604"/>
        <w:gridCol w:w="2468"/>
        <w:gridCol w:w="3209"/>
        <w:gridCol w:w="1359"/>
      </w:tblGrid>
      <w:tr>
        <w:trPr>
          <w:tblHeader/>
        </w:trPr>
        <w:tc>
          <w:tcPr>
            <w:tcW w:w="1604" w:type="dxa"/>
            <w:shd w:val="clear" w:color="auto" w:fill="D9D9D9"/>
          </w:tcPr>
          <w:p>
            <w:pPr>
              <w:spacing w:after="0" w:before="0" w:line="240" w:lineRule="auto"/>
            </w:pPr>
            <w:r>
              <w:rPr>
                <w:b/>
                <w:sz w:val="17"/>
              </w:rPr>
              <w:t>STRIDE threat</w:t>
            </w:r>
          </w:p>
        </w:tc>
        <w:tc>
          <w:tcPr>
            <w:tcW w:w="2468" w:type="dxa"/>
            <w:shd w:val="clear" w:color="auto" w:fill="D9D9D9"/>
          </w:tcPr>
          <w:p>
            <w:pPr>
              <w:spacing w:after="0" w:before="0" w:line="240" w:lineRule="auto"/>
            </w:pPr>
            <w:r>
              <w:rPr>
                <w:b/>
                <w:sz w:val="17"/>
              </w:rPr>
              <w:t>Example in CRM-RACRL</w:t>
            </w:r>
          </w:p>
        </w:tc>
        <w:tc>
          <w:tcPr>
            <w:tcW w:w="3209" w:type="dxa"/>
            <w:shd w:val="clear" w:color="auto" w:fill="D9D9D9"/>
          </w:tcPr>
          <w:p>
            <w:pPr>
              <w:spacing w:after="0" w:before="0" w:line="240" w:lineRule="auto"/>
            </w:pPr>
            <w:r>
              <w:rPr>
                <w:b/>
                <w:sz w:val="17"/>
              </w:rPr>
              <w:t>Control</w:t>
            </w:r>
          </w:p>
        </w:tc>
        <w:tc>
          <w:tcPr>
            <w:tcW w:w="1359" w:type="dxa"/>
            <w:shd w:val="clear" w:color="auto" w:fill="D9D9D9"/>
          </w:tcPr>
          <w:p>
            <w:pPr>
              <w:spacing w:after="0" w:before="0" w:line="240" w:lineRule="auto"/>
            </w:pPr>
            <w:r>
              <w:rPr>
                <w:b/>
                <w:sz w:val="17"/>
              </w:rPr>
              <w:t>Req</w:t>
            </w:r>
          </w:p>
        </w:tc>
      </w:tr>
      <w:tr>
        <w:tc>
          <w:tcPr>
            <w:tcW w:w="1604" w:type="dxa"/>
          </w:tcPr>
          <w:p>
            <w:pPr>
              <w:spacing w:after="0" w:before="0" w:line="240" w:lineRule="auto"/>
            </w:pPr>
            <w:r>
              <w:rPr>
                <w:b w:val="0"/>
                <w:sz w:val="17"/>
              </w:rPr>
              <w:t>Spoofing</w:t>
            </w:r>
          </w:p>
        </w:tc>
        <w:tc>
          <w:tcPr>
            <w:tcW w:w="2468" w:type="dxa"/>
          </w:tcPr>
          <w:p>
            <w:pPr>
              <w:spacing w:after="0" w:before="0" w:line="240" w:lineRule="auto"/>
            </w:pPr>
            <w:r>
              <w:rPr>
                <w:b w:val="0"/>
                <w:sz w:val="17"/>
              </w:rPr>
              <w:t>Stolen or guessed password; forged token</w:t>
            </w:r>
          </w:p>
        </w:tc>
        <w:tc>
          <w:tcPr>
            <w:tcW w:w="3209" w:type="dxa"/>
          </w:tcPr>
          <w:p>
            <w:pPr>
              <w:spacing w:after="0" w:before="0" w:line="240" w:lineRule="auto"/>
            </w:pPr>
            <w:r>
              <w:rPr>
                <w:b w:val="0"/>
                <w:sz w:val="17"/>
              </w:rPr>
              <w:t>bcrypt hashes, rate-limited login, signed JWT with 60-min expiry</w:t>
            </w:r>
          </w:p>
        </w:tc>
        <w:tc>
          <w:tcPr>
            <w:tcW w:w="1359" w:type="dxa"/>
          </w:tcPr>
          <w:p>
            <w:pPr>
              <w:spacing w:after="0" w:before="0" w:line="240" w:lineRule="auto"/>
            </w:pPr>
            <w:r>
              <w:rPr>
                <w:b w:val="0"/>
                <w:sz w:val="17"/>
              </w:rPr>
              <w:t>CRM-SR-002, 003, 006</w:t>
            </w:r>
          </w:p>
        </w:tc>
      </w:tr>
      <w:tr>
        <w:tc>
          <w:tcPr>
            <w:tcW w:w="1604" w:type="dxa"/>
          </w:tcPr>
          <w:p>
            <w:pPr>
              <w:spacing w:after="0" w:before="0" w:line="240" w:lineRule="auto"/>
            </w:pPr>
            <w:r>
              <w:rPr>
                <w:b w:val="0"/>
                <w:sz w:val="17"/>
              </w:rPr>
              <w:t>Tampering</w:t>
            </w:r>
          </w:p>
        </w:tc>
        <w:tc>
          <w:tcPr>
            <w:tcW w:w="2468" w:type="dxa"/>
          </w:tcPr>
          <w:p>
            <w:pPr>
              <w:spacing w:after="0" w:before="0" w:line="240" w:lineRule="auto"/>
            </w:pPr>
            <w:r>
              <w:rPr>
                <w:b w:val="0"/>
                <w:sz w:val="17"/>
              </w:rPr>
              <w:t>Rep edits another rep's deal; crafted request changes points</w:t>
            </w:r>
          </w:p>
        </w:tc>
        <w:tc>
          <w:tcPr>
            <w:tcW w:w="3209" w:type="dxa"/>
          </w:tcPr>
          <w:p>
            <w:pPr>
              <w:spacing w:after="0" w:before="0" w:line="240" w:lineRule="auto"/>
            </w:pPr>
            <w:r>
              <w:rPr>
                <w:b w:val="0"/>
                <w:sz w:val="17"/>
              </w:rPr>
              <w:t>Server-side RBAC + ownership checks; schema validation; points only via ledger service</w:t>
            </w:r>
          </w:p>
        </w:tc>
        <w:tc>
          <w:tcPr>
            <w:tcW w:w="1359" w:type="dxa"/>
          </w:tcPr>
          <w:p>
            <w:pPr>
              <w:spacing w:after="0" w:before="0" w:line="240" w:lineRule="auto"/>
            </w:pPr>
            <w:r>
              <w:rPr>
                <w:b w:val="0"/>
                <w:sz w:val="17"/>
              </w:rPr>
              <w:t>CRM-SR-004, 005</w:t>
            </w:r>
          </w:p>
        </w:tc>
      </w:tr>
      <w:tr>
        <w:tc>
          <w:tcPr>
            <w:tcW w:w="1604" w:type="dxa"/>
          </w:tcPr>
          <w:p>
            <w:pPr>
              <w:spacing w:after="0" w:before="0" w:line="240" w:lineRule="auto"/>
            </w:pPr>
            <w:r>
              <w:rPr>
                <w:b w:val="0"/>
                <w:sz w:val="17"/>
              </w:rPr>
              <w:t>Repudiation</w:t>
            </w:r>
          </w:p>
        </w:tc>
        <w:tc>
          <w:tcPr>
            <w:tcW w:w="2468" w:type="dxa"/>
          </w:tcPr>
          <w:p>
            <w:pPr>
              <w:spacing w:after="0" w:before="0" w:line="240" w:lineRule="auto"/>
            </w:pPr>
            <w:r>
              <w:rPr>
                <w:b w:val="0"/>
                <w:sz w:val="17"/>
              </w:rPr>
              <w:t>User denies deleting a contact</w:t>
            </w:r>
          </w:p>
        </w:tc>
        <w:tc>
          <w:tcPr>
            <w:tcW w:w="3209" w:type="dxa"/>
          </w:tcPr>
          <w:p>
            <w:pPr>
              <w:spacing w:after="0" w:before="0" w:line="240" w:lineRule="auto"/>
            </w:pPr>
            <w:r>
              <w:rPr>
                <w:b w:val="0"/>
                <w:sz w:val="17"/>
              </w:rPr>
              <w:t>Audit log of every create/update/delete with user and time</w:t>
            </w:r>
          </w:p>
        </w:tc>
        <w:tc>
          <w:tcPr>
            <w:tcW w:w="1359" w:type="dxa"/>
          </w:tcPr>
          <w:p>
            <w:pPr>
              <w:spacing w:after="0" w:before="0" w:line="240" w:lineRule="auto"/>
            </w:pPr>
            <w:r>
              <w:rPr>
                <w:b w:val="0"/>
                <w:sz w:val="17"/>
              </w:rPr>
              <w:t>CRM-F-064</w:t>
            </w:r>
          </w:p>
        </w:tc>
      </w:tr>
      <w:tr>
        <w:tc>
          <w:tcPr>
            <w:tcW w:w="1604" w:type="dxa"/>
          </w:tcPr>
          <w:p>
            <w:pPr>
              <w:spacing w:after="0" w:before="0" w:line="240" w:lineRule="auto"/>
            </w:pPr>
            <w:r>
              <w:rPr>
                <w:b w:val="0"/>
                <w:sz w:val="17"/>
              </w:rPr>
              <w:t>Information disclosure</w:t>
            </w:r>
          </w:p>
        </w:tc>
        <w:tc>
          <w:tcPr>
            <w:tcW w:w="2468" w:type="dxa"/>
          </w:tcPr>
          <w:p>
            <w:pPr>
              <w:spacing w:after="0" w:before="0" w:line="240" w:lineRule="auto"/>
            </w:pPr>
            <w:r>
              <w:rPr>
                <w:b w:val="0"/>
                <w:sz w:val="17"/>
              </w:rPr>
              <w:t>PII exposed in transit or logs; marketing to non-consenting contacts</w:t>
            </w:r>
          </w:p>
        </w:tc>
        <w:tc>
          <w:tcPr>
            <w:tcW w:w="3209" w:type="dxa"/>
          </w:tcPr>
          <w:p>
            <w:pPr>
              <w:spacing w:after="0" w:before="0" w:line="240" w:lineRule="auto"/>
            </w:pPr>
            <w:r>
              <w:rPr>
                <w:b w:val="0"/>
                <w:sz w:val="17"/>
              </w:rPr>
              <w:t>HTTPS + HSTS; no PII/secrets in logs; consent filter on segments</w:t>
            </w:r>
          </w:p>
        </w:tc>
        <w:tc>
          <w:tcPr>
            <w:tcW w:w="1359" w:type="dxa"/>
          </w:tcPr>
          <w:p>
            <w:pPr>
              <w:spacing w:after="0" w:before="0" w:line="240" w:lineRule="auto"/>
            </w:pPr>
            <w:r>
              <w:rPr>
                <w:b w:val="0"/>
                <w:sz w:val="17"/>
              </w:rPr>
              <w:t>CRM-SR-001, 002, 007</w:t>
            </w:r>
          </w:p>
        </w:tc>
      </w:tr>
      <w:tr>
        <w:tc>
          <w:tcPr>
            <w:tcW w:w="1604" w:type="dxa"/>
          </w:tcPr>
          <w:p>
            <w:pPr>
              <w:spacing w:after="0" w:before="0" w:line="240" w:lineRule="auto"/>
            </w:pPr>
            <w:r>
              <w:rPr>
                <w:b w:val="0"/>
                <w:sz w:val="17"/>
              </w:rPr>
              <w:t>Denial of service</w:t>
            </w:r>
          </w:p>
        </w:tc>
        <w:tc>
          <w:tcPr>
            <w:tcW w:w="2468" w:type="dxa"/>
          </w:tcPr>
          <w:p>
            <w:pPr>
              <w:spacing w:after="0" w:before="0" w:line="240" w:lineRule="auto"/>
            </w:pPr>
            <w:r>
              <w:rPr>
                <w:b w:val="0"/>
                <w:sz w:val="17"/>
              </w:rPr>
              <w:t>Bot flood on public lead form or login</w:t>
            </w:r>
          </w:p>
        </w:tc>
        <w:tc>
          <w:tcPr>
            <w:tcW w:w="3209" w:type="dxa"/>
          </w:tcPr>
          <w:p>
            <w:pPr>
              <w:spacing w:after="0" w:before="0" w:line="240" w:lineRule="auto"/>
            </w:pPr>
            <w:r>
              <w:rPr>
                <w:b w:val="0"/>
                <w:sz w:val="17"/>
              </w:rPr>
              <w:t>Rate limit 100 req/min/IP, honeypot field, pagination caps</w:t>
            </w:r>
          </w:p>
        </w:tc>
        <w:tc>
          <w:tcPr>
            <w:tcW w:w="1359" w:type="dxa"/>
          </w:tcPr>
          <w:p>
            <w:pPr>
              <w:spacing w:after="0" w:before="0" w:line="240" w:lineRule="auto"/>
            </w:pPr>
            <w:r>
              <w:rPr>
                <w:b w:val="0"/>
                <w:sz w:val="17"/>
              </w:rPr>
              <w:t>CRM-SR-006, CRM-NF-008</w:t>
            </w:r>
          </w:p>
        </w:tc>
      </w:tr>
      <w:tr>
        <w:tc>
          <w:tcPr>
            <w:tcW w:w="1604" w:type="dxa"/>
          </w:tcPr>
          <w:p>
            <w:pPr>
              <w:spacing w:after="0" w:before="0" w:line="240" w:lineRule="auto"/>
            </w:pPr>
            <w:r>
              <w:rPr>
                <w:b w:val="0"/>
                <w:sz w:val="17"/>
              </w:rPr>
              <w:t>Elevation of privilege</w:t>
            </w:r>
          </w:p>
        </w:tc>
        <w:tc>
          <w:tcPr>
            <w:tcW w:w="2468" w:type="dxa"/>
          </w:tcPr>
          <w:p>
            <w:pPr>
              <w:spacing w:after="0" w:before="0" w:line="240" w:lineRule="auto"/>
            </w:pPr>
            <w:r>
              <w:rPr>
                <w:b w:val="0"/>
                <w:sz w:val="17"/>
              </w:rPr>
              <w:t>Sales Rep calls Admin user routes</w:t>
            </w:r>
          </w:p>
        </w:tc>
        <w:tc>
          <w:tcPr>
            <w:tcW w:w="3209" w:type="dxa"/>
          </w:tcPr>
          <w:p>
            <w:pPr>
              <w:spacing w:after="0" w:before="0" w:line="240" w:lineRule="auto"/>
            </w:pPr>
            <w:r>
              <w:rPr>
                <w:b w:val="0"/>
                <w:sz w:val="17"/>
              </w:rPr>
              <w:t>authorize(roles) on every route; automated route-role matrix test</w:t>
            </w:r>
          </w:p>
        </w:tc>
        <w:tc>
          <w:tcPr>
            <w:tcW w:w="1359" w:type="dxa"/>
          </w:tcPr>
          <w:p>
            <w:pPr>
              <w:spacing w:after="0" w:before="0" w:line="240" w:lineRule="auto"/>
            </w:pPr>
            <w:r>
              <w:rPr>
                <w:b w:val="0"/>
                <w:sz w:val="17"/>
              </w:rPr>
              <w:t>CRM-SR-004</w:t>
            </w:r>
          </w:p>
        </w:tc>
      </w:tr>
    </w:tbl>
    <w:p/>
    <w:p>
      <w:pPr>
        <w:pStyle w:val="Heading1"/>
        <w:keepNext/>
      </w:pPr>
      <w:r>
        <w:t>4. Design</w:t>
      </w:r>
    </w:p>
    <w:p>
      <w:pPr>
        <w:pStyle w:val="Heading2"/>
        <w:keepNext/>
      </w:pPr>
      <w:r>
        <w:t>4.1 Design Overview</w:t>
      </w:r>
    </w:p>
    <w:p>
      <w:r>
        <w:rPr>
          <w:i w:val="0"/>
        </w:rPr>
        <w:t>Each module follows the same four layers so any team member can work in any module: Router (routes and middleware), Controller (input parsing and HTTP responses), Service (business rules, transactions, cross-module calls) and Repository (Prisma queries). The SPA mirrors this with one feature folder per module. Shared Zod schemas validate data identically on client and server.</w:t>
      </w:r>
    </w:p>
    <w:p>
      <w:r>
        <w:rPr>
          <w:i w:val="0"/>
        </w:rPr>
        <w:t>Repository layout: apps/web (React), apps/api/src/modules/&lt;module&gt;/{router,controller,service,repository,schema}.ts, apps/api/prisma (schema, migrations, seed), e2e (Playwright), load (k6), docs, .github/workflows (ci.yml, cd.yml, pr-checks.yml).</w:t>
      </w:r>
    </w:p>
    <w:p>
      <w:pPr>
        <w:pStyle w:val="Heading2"/>
        <w:keepNext/>
      </w:pPr>
      <w:r>
        <w:t>4.2 UML Sequence Diagrams</w:t>
      </w:r>
    </w:p>
    <w:p>
      <w:pPr>
        <w:pStyle w:val="Heading3"/>
        <w:keepNext/>
      </w:pPr>
      <w:r>
        <w:t>4.2.1 Converting a lead into a customer</w:t>
      </w:r>
    </w:p>
    <w:p>
      <w:pPr>
        <w:keepNext/>
        <w:jc w:val="center"/>
      </w:pPr>
      <w:r>
        <w:drawing>
          <wp:inline xmlns:a="http://schemas.openxmlformats.org/drawingml/2006/main" xmlns:pic="http://schemas.openxmlformats.org/drawingml/2006/picture">
            <wp:extent cx="5486400" cy="2939143"/>
            <wp:docPr id="3" name="Picture 3"/>
            <wp:cNvGraphicFramePr>
              <a:graphicFrameLocks noChangeAspect="1"/>
            </wp:cNvGraphicFramePr>
            <a:graphic>
              <a:graphicData uri="http://schemas.openxmlformats.org/drawingml/2006/picture">
                <pic:pic>
                  <pic:nvPicPr>
                    <pic:cNvPr id="0" name="seq_convert.png"/>
                    <pic:cNvPicPr/>
                  </pic:nvPicPr>
                  <pic:blipFill>
                    <a:blip r:embed="rId8"/>
                    <a:stretch>
                      <a:fillRect/>
                    </a:stretch>
                  </pic:blipFill>
                  <pic:spPr>
                    <a:xfrm>
                      <a:off x="0" y="0"/>
                      <a:ext cx="5486400" cy="2939143"/>
                    </a:xfrm>
                    <a:prstGeom prst="rect"/>
                  </pic:spPr>
                </pic:pic>
              </a:graphicData>
            </a:graphic>
          </wp:inline>
        </w:drawing>
      </w:r>
    </w:p>
    <w:p>
      <w:pPr>
        <w:jc w:val="center"/>
      </w:pPr>
      <w:r>
        <w:rPr>
          <w:i/>
          <w:sz w:val="18"/>
        </w:rPr>
        <w:t>Figure 3: Lead conversion flow (CRM-F-032)</w:t>
      </w:r>
    </w:p>
    <w:p>
      <w:pPr>
        <w:pStyle w:val="Heading3"/>
        <w:keepNext/>
      </w:pPr>
      <w:r>
        <w:t>4.2.2 Redeeming a loyalty reward</w:t>
      </w:r>
    </w:p>
    <w:p>
      <w:pPr>
        <w:keepNext/>
        <w:jc w:val="center"/>
      </w:pPr>
      <w:r>
        <w:drawing>
          <wp:inline xmlns:a="http://schemas.openxmlformats.org/drawingml/2006/main" xmlns:pic="http://schemas.openxmlformats.org/drawingml/2006/picture">
            <wp:extent cx="5486400" cy="3030116"/>
            <wp:docPr id="4" name="Picture 4"/>
            <wp:cNvGraphicFramePr>
              <a:graphicFrameLocks noChangeAspect="1"/>
            </wp:cNvGraphicFramePr>
            <a:graphic>
              <a:graphicData uri="http://schemas.openxmlformats.org/drawingml/2006/picture">
                <pic:pic>
                  <pic:nvPicPr>
                    <pic:cNvPr id="0" name="seq_redeem.png"/>
                    <pic:cNvPicPr/>
                  </pic:nvPicPr>
                  <pic:blipFill>
                    <a:blip r:embed="rId9"/>
                    <a:stretch>
                      <a:fillRect/>
                    </a:stretch>
                  </pic:blipFill>
                  <pic:spPr>
                    <a:xfrm>
                      <a:off x="0" y="0"/>
                      <a:ext cx="5486400" cy="3030116"/>
                    </a:xfrm>
                    <a:prstGeom prst="rect"/>
                  </pic:spPr>
                </pic:pic>
              </a:graphicData>
            </a:graphic>
          </wp:inline>
        </w:drawing>
      </w:r>
    </w:p>
    <w:p>
      <w:pPr>
        <w:jc w:val="center"/>
      </w:pPr>
      <w:r>
        <w:rPr>
          <w:i/>
          <w:sz w:val="18"/>
        </w:rPr>
        <w:t>Figure 4: Reward redemption flow (CRM-F-052)</w:t>
      </w:r>
    </w:p>
    <w:p>
      <w:pPr>
        <w:pStyle w:val="Heading3"/>
        <w:keepNext/>
      </w:pPr>
      <w:r>
        <w:t>4.2.3 Logging in</w:t>
      </w:r>
    </w:p>
    <w:p>
      <w:pPr>
        <w:keepNext/>
        <w:jc w:val="center"/>
      </w:pPr>
      <w:r>
        <w:drawing>
          <wp:inline xmlns:a="http://schemas.openxmlformats.org/drawingml/2006/main" xmlns:pic="http://schemas.openxmlformats.org/drawingml/2006/picture">
            <wp:extent cx="5486400" cy="2862165"/>
            <wp:docPr id="5" name="Picture 5"/>
            <wp:cNvGraphicFramePr>
              <a:graphicFrameLocks noChangeAspect="1"/>
            </wp:cNvGraphicFramePr>
            <a:graphic>
              <a:graphicData uri="http://schemas.openxmlformats.org/drawingml/2006/picture">
                <pic:pic>
                  <pic:nvPicPr>
                    <pic:cNvPr id="0" name="seq_login.png"/>
                    <pic:cNvPicPr/>
                  </pic:nvPicPr>
                  <pic:blipFill>
                    <a:blip r:embed="rId10"/>
                    <a:stretch>
                      <a:fillRect/>
                    </a:stretch>
                  </pic:blipFill>
                  <pic:spPr>
                    <a:xfrm>
                      <a:off x="0" y="0"/>
                      <a:ext cx="5486400" cy="2862165"/>
                    </a:xfrm>
                    <a:prstGeom prst="rect"/>
                  </pic:spPr>
                </pic:pic>
              </a:graphicData>
            </a:graphic>
          </wp:inline>
        </w:drawing>
      </w:r>
    </w:p>
    <w:p>
      <w:pPr>
        <w:jc w:val="center"/>
      </w:pPr>
      <w:r>
        <w:rPr>
          <w:i/>
          <w:sz w:val="18"/>
        </w:rPr>
        <w:t>Figure 5: Login flow (CRM-F-001, CRM-F-002)</w:t>
      </w:r>
    </w:p>
    <w:p>
      <w:pPr>
        <w:pStyle w:val="Heading2"/>
        <w:keepNext/>
      </w:pPr>
      <w:r>
        <w:t>4.3 API Design</w:t>
      </w:r>
    </w:p>
    <w:p>
      <w:r>
        <w:rPr>
          <w:i w:val="0"/>
        </w:rPr>
        <w:t>All endpoints are REST/JSON under /api/v1 and require a Bearer JWT unless marked public. Lists return {data, page, pageSize, total} with pageSize capped at 100. Full specification is generated as OpenAPI 3 at /api/docs. Interface definitions for the main components are given below.</w:t>
      </w:r>
    </w:p>
    <w:p>
      <w:r>
        <w:rPr>
          <w:b/>
        </w:rPr>
        <w:t>Convert Module - convert lead</w:t>
      </w:r>
      <w:r>
        <w:br/>
      </w:r>
      <w:r>
        <w:t>Endpoint: /api/v1/leads/{id}/convert</w:t>
      </w:r>
      <w:r>
        <w:br/>
      </w:r>
      <w:r>
        <w:t>Method: POST</w:t>
      </w:r>
      <w:r>
        <w:br/>
      </w:r>
      <w:r>
        <w:t>Access: Sales Representative (owner), Sales Manager</w:t>
      </w:r>
      <w:r>
        <w:br/>
      </w:r>
      <w:r>
        <w:t>Request: { "createAccount": true, "accountName": "Acme Traders", "createDeal": true, "dealTitle": "Annual plan", "dealValue": 120000 }</w:t>
      </w:r>
      <w:r>
        <w:br/>
      </w:r>
      <w:r>
        <w:t>Response: 201 { "contactId": "uuid", "accountId": "uuid", "dealId": "uuid" }</w:t>
      </w:r>
      <w:r>
        <w:br/>
      </w:r>
      <w:r>
        <w:t>Errors: 400 VALIDATION_ERROR, 401 UNAUTHENTICATED, 403 FORBIDDEN (not owner), 404 NOT_FOUND, 409 LEAD_NOT_QUALIFIED</w:t>
      </w:r>
    </w:p>
    <w:p>
      <w:r>
        <w:rPr>
          <w:b/>
        </w:rPr>
        <w:t>Acquire Module - public lead form</w:t>
      </w:r>
      <w:r>
        <w:br/>
      </w:r>
      <w:r>
        <w:t>Endpoint: /api/v1/public/leads</w:t>
      </w:r>
      <w:r>
        <w:br/>
      </w:r>
      <w:r>
        <w:t>Method: POST</w:t>
      </w:r>
      <w:r>
        <w:br/>
      </w:r>
      <w:r>
        <w:t>Access: Public (rate limited)</w:t>
      </w:r>
      <w:r>
        <w:br/>
      </w:r>
      <w:r>
        <w:t>Request: { "name": "Priya S", "email": "priya@example.com", "phone": "+91...", "source": "WEB", "campaignId": "uuid?", "website": "" }</w:t>
      </w:r>
      <w:r>
        <w:br/>
      </w:r>
      <w:r>
        <w:t>Response: 201 { "id": "uuid", "isDuplicate": false }</w:t>
      </w:r>
      <w:r>
        <w:br/>
      </w:r>
      <w:r>
        <w:t>Errors: 400 VALIDATION_ERROR, 429 RATE_LIMITED</w:t>
      </w:r>
    </w:p>
    <w:p>
      <w:r>
        <w:rPr>
          <w:b/>
        </w:rPr>
        <w:t>Loyalty Module - redeem reward</w:t>
      </w:r>
      <w:r>
        <w:br/>
      </w:r>
      <w:r>
        <w:t>Endpoint: /api/v1/rewards/{id}/redeem</w:t>
      </w:r>
      <w:r>
        <w:br/>
      </w:r>
      <w:r>
        <w:t>Method: POST</w:t>
      </w:r>
      <w:r>
        <w:br/>
      </w:r>
      <w:r>
        <w:t>Access: Support Agent, Admin</w:t>
      </w:r>
      <w:r>
        <w:br/>
      </w:r>
      <w:r>
        <w:t>Request: { "contactId": "uuid" }</w:t>
      </w:r>
      <w:r>
        <w:br/>
      </w:r>
      <w:r>
        <w:t>Response: 200 { "redemptionId": "uuid", "newBalance": 120, "tier": "SILVER" }</w:t>
      </w:r>
      <w:r>
        <w:br/>
      </w:r>
      <w:r>
        <w:t>Errors: 401, 403, 404 NOT_FOUND, 409 INSUFFICIENT_POINTS / OUT_OF_STOCK</w:t>
      </w:r>
    </w:p>
    <w:p>
      <w:r>
        <w:rPr>
          <w:b/>
        </w:rPr>
        <w:t>Convert Module - move deal stage</w:t>
      </w:r>
      <w:r>
        <w:br/>
      </w:r>
      <w:r>
        <w:t>Endpoint: /api/v1/deals/{id}/stage</w:t>
      </w:r>
      <w:r>
        <w:br/>
      </w:r>
      <w:r>
        <w:t>Method: PATCH</w:t>
      </w:r>
      <w:r>
        <w:br/>
      </w:r>
      <w:r>
        <w:t>Access: Sales Representative (owner), Sales Manager</w:t>
      </w:r>
      <w:r>
        <w:br/>
      </w:r>
      <w:r>
        <w:t>Request: { "stage": "PROPOSAL" }</w:t>
      </w:r>
      <w:r>
        <w:br/>
      </w:r>
      <w:r>
        <w:t>Response: 200 { "id": "uuid", "stage": "PROPOSAL", "wonAt": null }</w:t>
      </w:r>
      <w:r>
        <w:br/>
      </w:r>
      <w:r>
        <w:t>Errors: 400 INVALID_STAGE, 401, 403, 404</w:t>
      </w:r>
    </w:p>
    <w:p>
      <w:r>
        <w:rPr>
          <w:b/>
        </w:rPr>
        <w:t>Auth Module - login</w:t>
      </w:r>
      <w:r>
        <w:br/>
      </w:r>
      <w:r>
        <w:t>Endpoint: /api/v1/auth/login</w:t>
      </w:r>
      <w:r>
        <w:br/>
      </w:r>
      <w:r>
        <w:t>Method: POST</w:t>
      </w:r>
      <w:r>
        <w:br/>
      </w:r>
      <w:r>
        <w:t>Access: Public (rate limited)</w:t>
      </w:r>
      <w:r>
        <w:br/>
      </w:r>
      <w:r>
        <w:t>Request: { "email": "rep@crm.test", "password": "********" }</w:t>
      </w:r>
      <w:r>
        <w:br/>
      </w:r>
      <w:r>
        <w:t>Response: 200 { "token": "&lt;jwt&gt;", "expiresIn": 3600, "role": "SALES_REP" }</w:t>
      </w:r>
      <w:r>
        <w:br/>
      </w:r>
      <w:r>
        <w:t>Errors: 400 VALIDATION_ERROR, 401 INVALID_CREDENTIALS, 429 RATE_LIMITED</w:t>
      </w:r>
    </w:p>
    <w:tbl>
      <w:tblPr>
        <w:tblW w:w="86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80" w:type="dxa"/>
          <w:right w:w="80" w:type="dxa"/>
        </w:tblCellMar>
        <w:tblLook w:val="0400"/>
      </w:tblPr>
      <w:tblGrid>
        <w:gridCol w:w="1604"/>
        <w:gridCol w:w="7036"/>
      </w:tblGrid>
      <w:tr>
        <w:trPr>
          <w:tblHeader/>
        </w:trPr>
        <w:tc>
          <w:tcPr>
            <w:tcW w:w="1604" w:type="dxa"/>
            <w:shd w:val="clear" w:color="auto" w:fill="D9D9D9"/>
          </w:tcPr>
          <w:p>
            <w:pPr>
              <w:spacing w:after="0" w:before="0" w:line="240" w:lineRule="auto"/>
            </w:pPr>
            <w:r>
              <w:rPr>
                <w:b/>
                <w:sz w:val="18"/>
              </w:rPr>
              <w:t>Module</w:t>
            </w:r>
          </w:p>
        </w:tc>
        <w:tc>
          <w:tcPr>
            <w:tcW w:w="7036" w:type="dxa"/>
            <w:shd w:val="clear" w:color="auto" w:fill="D9D9D9"/>
          </w:tcPr>
          <w:p>
            <w:pPr>
              <w:spacing w:after="0" w:before="0" w:line="240" w:lineRule="auto"/>
            </w:pPr>
            <w:r>
              <w:rPr>
                <w:b/>
                <w:sz w:val="18"/>
              </w:rPr>
              <w:t>Other key endpoints</w:t>
            </w:r>
          </w:p>
        </w:tc>
      </w:tr>
      <w:tr>
        <w:tc>
          <w:tcPr>
            <w:tcW w:w="1604" w:type="dxa"/>
          </w:tcPr>
          <w:p>
            <w:pPr>
              <w:spacing w:after="0" w:before="0" w:line="240" w:lineRule="auto"/>
            </w:pPr>
            <w:r>
              <w:rPr>
                <w:b w:val="0"/>
                <w:sz w:val="18"/>
              </w:rPr>
              <w:t>Auth</w:t>
            </w:r>
          </w:p>
        </w:tc>
        <w:tc>
          <w:tcPr>
            <w:tcW w:w="7036" w:type="dxa"/>
          </w:tcPr>
          <w:p>
            <w:pPr>
              <w:spacing w:after="0" w:before="0" w:line="240" w:lineRule="auto"/>
            </w:pPr>
            <w:r>
              <w:rPr>
                <w:b w:val="0"/>
                <w:sz w:val="18"/>
              </w:rPr>
              <w:t>GET /auth/me; GET/POST/PATCH /users (Admin)</w:t>
            </w:r>
          </w:p>
        </w:tc>
      </w:tr>
      <w:tr>
        <w:tc>
          <w:tcPr>
            <w:tcW w:w="1604" w:type="dxa"/>
          </w:tcPr>
          <w:p>
            <w:pPr>
              <w:spacing w:after="0" w:before="0" w:line="240" w:lineRule="auto"/>
            </w:pPr>
            <w:r>
              <w:rPr>
                <w:b w:val="0"/>
                <w:sz w:val="18"/>
              </w:rPr>
              <w:t>Reach</w:t>
            </w:r>
          </w:p>
        </w:tc>
        <w:tc>
          <w:tcPr>
            <w:tcW w:w="7036" w:type="dxa"/>
          </w:tcPr>
          <w:p>
            <w:pPr>
              <w:spacing w:after="0" w:before="0" w:line="240" w:lineRule="auto"/>
            </w:pPr>
            <w:r>
              <w:rPr>
                <w:b w:val="0"/>
                <w:sz w:val="18"/>
              </w:rPr>
              <w:t>GET/POST/PATCH /segments; GET/POST/PATCH /campaigns; POST /campaigns/{id}/send; GET /campaigns/{id}/metrics</w:t>
            </w:r>
          </w:p>
        </w:tc>
      </w:tr>
      <w:tr>
        <w:tc>
          <w:tcPr>
            <w:tcW w:w="1604" w:type="dxa"/>
          </w:tcPr>
          <w:p>
            <w:pPr>
              <w:spacing w:after="0" w:before="0" w:line="240" w:lineRule="auto"/>
            </w:pPr>
            <w:r>
              <w:rPr>
                <w:b w:val="0"/>
                <w:sz w:val="18"/>
              </w:rPr>
              <w:t>Acquire</w:t>
            </w:r>
          </w:p>
        </w:tc>
        <w:tc>
          <w:tcPr>
            <w:tcW w:w="7036" w:type="dxa"/>
          </w:tcPr>
          <w:p>
            <w:pPr>
              <w:spacing w:after="0" w:before="0" w:line="240" w:lineRule="auto"/>
            </w:pPr>
            <w:r>
              <w:rPr>
                <w:b w:val="0"/>
                <w:sz w:val="18"/>
              </w:rPr>
              <w:t>GET/POST/PATCH/DELETE /leads; POST /leads/import; POST /leads/assign</w:t>
            </w:r>
          </w:p>
        </w:tc>
      </w:tr>
      <w:tr>
        <w:tc>
          <w:tcPr>
            <w:tcW w:w="1604" w:type="dxa"/>
          </w:tcPr>
          <w:p>
            <w:pPr>
              <w:spacing w:after="0" w:before="0" w:line="240" w:lineRule="auto"/>
            </w:pPr>
            <w:r>
              <w:rPr>
                <w:b w:val="0"/>
                <w:sz w:val="18"/>
              </w:rPr>
              <w:t>Convert</w:t>
            </w:r>
          </w:p>
        </w:tc>
        <w:tc>
          <w:tcPr>
            <w:tcW w:w="7036" w:type="dxa"/>
          </w:tcPr>
          <w:p>
            <w:pPr>
              <w:spacing w:after="0" w:before="0" w:line="240" w:lineRule="auto"/>
            </w:pPr>
            <w:r>
              <w:rPr>
                <w:b w:val="0"/>
                <w:sz w:val="18"/>
              </w:rPr>
              <w:t>CRUD /contacts, /accounts, /deals, /activities; POST /deals/{id}/quote</w:t>
            </w:r>
          </w:p>
        </w:tc>
      </w:tr>
      <w:tr>
        <w:tc>
          <w:tcPr>
            <w:tcW w:w="1604" w:type="dxa"/>
          </w:tcPr>
          <w:p>
            <w:pPr>
              <w:spacing w:after="0" w:before="0" w:line="240" w:lineRule="auto"/>
            </w:pPr>
            <w:r>
              <w:rPr>
                <w:b w:val="0"/>
                <w:sz w:val="18"/>
              </w:rPr>
              <w:t>Retain</w:t>
            </w:r>
          </w:p>
        </w:tc>
        <w:tc>
          <w:tcPr>
            <w:tcW w:w="7036" w:type="dxa"/>
          </w:tcPr>
          <w:p>
            <w:pPr>
              <w:spacing w:after="0" w:before="0" w:line="240" w:lineRule="auto"/>
            </w:pPr>
            <w:r>
              <w:rPr>
                <w:b w:val="0"/>
                <w:sz w:val="18"/>
              </w:rPr>
              <w:t>GET/POST/PATCH /tickets; GET /customers/{id}/360</w:t>
            </w:r>
          </w:p>
        </w:tc>
      </w:tr>
      <w:tr>
        <w:tc>
          <w:tcPr>
            <w:tcW w:w="1604" w:type="dxa"/>
          </w:tcPr>
          <w:p>
            <w:pPr>
              <w:spacing w:after="0" w:before="0" w:line="240" w:lineRule="auto"/>
            </w:pPr>
            <w:r>
              <w:rPr>
                <w:b w:val="0"/>
                <w:sz w:val="18"/>
              </w:rPr>
              <w:t>Loyalty</w:t>
            </w:r>
          </w:p>
        </w:tc>
        <w:tc>
          <w:tcPr>
            <w:tcW w:w="7036" w:type="dxa"/>
          </w:tcPr>
          <w:p>
            <w:pPr>
              <w:spacing w:after="0" w:before="0" w:line="240" w:lineRule="auto"/>
            </w:pPr>
            <w:r>
              <w:rPr>
                <w:b w:val="0"/>
                <w:sz w:val="18"/>
              </w:rPr>
              <w:t>GET/POST /orders; GET /customers/{id}/points; GET/POST/PATCH /rewards; GET /tiers</w:t>
            </w:r>
          </w:p>
        </w:tc>
      </w:tr>
      <w:tr>
        <w:tc>
          <w:tcPr>
            <w:tcW w:w="1604" w:type="dxa"/>
          </w:tcPr>
          <w:p>
            <w:pPr>
              <w:spacing w:after="0" w:before="0" w:line="240" w:lineRule="auto"/>
            </w:pPr>
            <w:r>
              <w:rPr>
                <w:b w:val="0"/>
                <w:sz w:val="18"/>
              </w:rPr>
              <w:t>Analytics</w:t>
            </w:r>
          </w:p>
        </w:tc>
        <w:tc>
          <w:tcPr>
            <w:tcW w:w="7036" w:type="dxa"/>
          </w:tcPr>
          <w:p>
            <w:pPr>
              <w:spacing w:after="0" w:before="0" w:line="240" w:lineRule="auto"/>
            </w:pPr>
            <w:r>
              <w:rPr>
                <w:b w:val="0"/>
                <w:sz w:val="18"/>
              </w:rPr>
              <w:t>GET /dashboard/kpis?from&amp;to; GET /reports/funnel; GET /reports/{name}/export.csv; GET /search?q=; GET /audit-logs</w:t>
            </w:r>
          </w:p>
        </w:tc>
      </w:tr>
      <w:tr>
        <w:tc>
          <w:tcPr>
            <w:tcW w:w="1604" w:type="dxa"/>
          </w:tcPr>
          <w:p>
            <w:pPr>
              <w:spacing w:after="0" w:before="0" w:line="240" w:lineRule="auto"/>
            </w:pPr>
            <w:r>
              <w:rPr>
                <w:b w:val="0"/>
                <w:sz w:val="18"/>
              </w:rPr>
              <w:t>Operations</w:t>
            </w:r>
          </w:p>
        </w:tc>
        <w:tc>
          <w:tcPr>
            <w:tcW w:w="7036" w:type="dxa"/>
          </w:tcPr>
          <w:p>
            <w:pPr>
              <w:spacing w:after="0" w:before="0" w:line="240" w:lineRule="auto"/>
            </w:pPr>
            <w:r>
              <w:rPr>
                <w:b w:val="0"/>
                <w:sz w:val="18"/>
              </w:rPr>
              <w:t>GET /health (public)</w:t>
            </w:r>
          </w:p>
        </w:tc>
      </w:tr>
    </w:tbl>
    <w:p/>
    <w:p>
      <w:pPr>
        <w:pStyle w:val="Heading2"/>
        <w:keepNext/>
      </w:pPr>
      <w:r>
        <w:t>4.4 Error Handling, Logging &amp; Monitoring</w:t>
      </w:r>
    </w:p>
    <w:p>
      <w:r>
        <w:rPr>
          <w:i w:val="0"/>
        </w:rPr>
        <w:t>Errors: one central error handler returns { "error": { "code", "message", "details" } } with codes 400, 401, 403, 404, 409, 429 and 500. Messages never reveal whether an email exists or include stack traces in production.</w:t>
      </w:r>
    </w:p>
    <w:p>
      <w:r>
        <w:rPr>
          <w:i w:val="0"/>
        </w:rPr>
        <w:t>Logging: structured JSON logs (pino) with request id, user id, route, status and latency. Passwords, tokens and full personal data are never logged (CRM-SR-002). Business actions are also written to the AuditLog table (CRM-F-064).</w:t>
      </w:r>
    </w:p>
    <w:p>
      <w:r>
        <w:rPr>
          <w:i w:val="0"/>
        </w:rPr>
        <w:t>Monitoring: GET /health checks the API and a database ping and is polled by an uptime monitor (CRM-NF-003). The CD pipeline smoke-tests /health after each deploy and rolls back on failure (CRM-NF-010). Tracked metrics: request error rate, p95 latency, uptime, failed logins, SLA breaches.</w:t>
      </w:r>
    </w:p>
    <w:p>
      <w:r>
        <w:rPr>
          <w:i w:val="0"/>
        </w:rPr>
        <w:t>CI/CD: ci.yml runs lint, type-check, unit and integration tests against PostgreSQL with a 70% coverage gate, web tests, build, Docker build and Playwright E2E on pull requests; cd.yml builds the image to GHCR, deploys to Render and Vercel, smoke-tests and rolls back; pr-checks.yml requires a Jira key (CRM-n) in branch and PR title so Jira moves issues automatically and the burndown stays accurate.</w:t>
      </w:r>
    </w:p>
    <w:p>
      <w:pPr>
        <w:pStyle w:val="Heading2"/>
        <w:keepNext/>
      </w:pPr>
      <w:r>
        <w:t>4.5 UX Design</w:t>
      </w:r>
    </w:p>
    <w:p>
      <w:r>
        <w:rPr>
          <w:i w:val="0"/>
        </w:rPr>
        <w:t>Left navigation by lifecycle stage, a global search bar and a role-specific dashboard on login. Key flows (create lead, convert lead, redeem reward) take at most three clicks. Deals use a drag-and-drop Kanban board with column totals; tickets past SLA are highlighted in red; Customer 360 shows one reverse-chronological timeline. Layout is responsive down to 360 px, fields are labelled, colours meet WCAG 2.1 AA contrast and every action is keyboard accessible.</w:t>
      </w:r>
    </w:p>
    <w:p>
      <w:pPr>
        <w:pStyle w:val="Heading2"/>
        <w:keepNext/>
      </w:pPr>
      <w:r>
        <w:t>4.6 Open Issues &amp; Next Steps</w:t>
      </w:r>
    </w:p>
    <w:p>
      <w:r>
        <w:rPr>
          <w:i w:val="0"/>
        </w:rPr>
        <w:t>Open issues: final loyalty tier thresholds and point rate to be confirmed with the product owner before Sprint 2; SLA hours per priority to be confirmed. Future enhancements: real email/SMS provider adapter, customer self-service loyalty portal, WhatsApp channel, AI-assisted lead scoring, multi-tenant support.</w:t>
      </w:r>
    </w:p>
    <w:p>
      <w:pPr>
        <w:pStyle w:val="Heading1"/>
        <w:keepNext/>
      </w:pPr>
      <w:r>
        <w:t>5. Appendices</w:t>
      </w:r>
    </w:p>
    <w:p>
      <w:r>
        <w:t>5.1 Glossary: CRM, Lead, Contact, Account, Deal, Segment, SLA, CLV, RBAC, JWT, ORM, SPA, ADR, STRIDE, CI/CD.</w:t>
      </w:r>
      <w:r>
        <w:br/>
      </w:r>
      <w:r>
        <w:t>5.2 References: IEEE 42010, IEEE 830, OWASP Top 10, OWASP ASVS, Digital Personal Data Protection Act 2023, project SRS and STP.</w:t>
      </w:r>
      <w:r>
        <w:br/>
      </w:r>
      <w:r>
        <w:t>5.3 Tools: PlantUML (diagrams), Swagger/OpenAPI, Jira, GitHub Actions, Docker.</w:t>
      </w:r>
    </w:p>
    <w:sectPr w:rsidR="00840FC0">
      <w:pgSz w:w="12240" w:h="15840"/>
      <w:pgMar w:top="1440" w:right="1800" w:bottom="1440" w:left="180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40FC0"/>
    <w:rsid w:val="002A5EDE"/>
    <w:rsid w:val="005970D9"/>
    <w:rsid w:val="00840FC0"/>
    <w:rsid w:val="009A6B7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70FFA6B0"/>
  <w15:docId w15:val="{D8AFB91F-3E9D-294A-8240-58602CBEEB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sz w:val="22"/>
        <w:szCs w:val="22"/>
        <w:lang w:val="en" w:eastAsia="en-GB"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0"/>
      <w:outlineLvl w:val="0"/>
    </w:pPr>
    <w:rPr>
      <w:rFonts w:ascii="Calibri" w:eastAsia="Calibri" w:hAnsi="Calibri" w:cs="Calibri"/>
      <w:b/>
      <w:color w:val="366091"/>
      <w:sz w:val="28"/>
      <w:szCs w:val="28"/>
    </w:rPr>
  </w:style>
  <w:style w:type="paragraph" w:styleId="Heading2">
    <w:name w:val="heading 2"/>
    <w:basedOn w:val="Normal"/>
    <w:next w:val="Normal"/>
    <w:uiPriority w:val="9"/>
    <w:unhideWhenUsed/>
    <w:qFormat/>
    <w:pPr>
      <w:keepNext/>
      <w:keepLines/>
      <w:spacing w:before="200" w:after="0"/>
      <w:outlineLvl w:val="1"/>
    </w:pPr>
    <w:rPr>
      <w:rFonts w:ascii="Calibri" w:eastAsia="Calibri" w:hAnsi="Calibri" w:cs="Calibri"/>
      <w:b/>
      <w:color w:val="4F81BD"/>
      <w:sz w:val="26"/>
      <w:szCs w:val="26"/>
    </w:rPr>
  </w:style>
  <w:style w:type="paragraph" w:styleId="Heading3">
    <w:name w:val="heading 3"/>
    <w:basedOn w:val="Normal"/>
    <w:next w:val="Normal"/>
    <w:uiPriority w:val="9"/>
    <w:semiHidden/>
    <w:unhideWhenUsed/>
    <w:qFormat/>
    <w:pPr>
      <w:keepNext/>
      <w:keepLines/>
      <w:spacing w:before="200" w:after="0"/>
      <w:outlineLvl w:val="2"/>
    </w:pPr>
    <w:rPr>
      <w:rFonts w:ascii="Calibri" w:eastAsia="Calibri" w:hAnsi="Calibri" w:cs="Calibri"/>
      <w:b/>
      <w:color w:val="4F81BD"/>
    </w:rPr>
  </w:style>
  <w:style w:type="paragraph" w:styleId="Heading4">
    <w:name w:val="heading 4"/>
    <w:basedOn w:val="Normal"/>
    <w:next w:val="Normal"/>
    <w:uiPriority w:val="9"/>
    <w:semiHidden/>
    <w:unhideWhenUsed/>
    <w:qFormat/>
    <w:pPr>
      <w:keepNext/>
      <w:keepLines/>
      <w:spacing w:before="200" w:after="0"/>
      <w:outlineLvl w:val="3"/>
    </w:pPr>
    <w:rPr>
      <w:rFonts w:ascii="Calibri" w:eastAsia="Calibri" w:hAnsi="Calibri" w:cs="Calibri"/>
      <w:b/>
      <w:i/>
      <w:color w:val="4F81BD"/>
    </w:rPr>
  </w:style>
  <w:style w:type="paragraph" w:styleId="Heading5">
    <w:name w:val="heading 5"/>
    <w:basedOn w:val="Normal"/>
    <w:next w:val="Normal"/>
    <w:uiPriority w:val="9"/>
    <w:semiHidden/>
    <w:unhideWhenUsed/>
    <w:qFormat/>
    <w:pPr>
      <w:keepNext/>
      <w:keepLines/>
      <w:spacing w:before="200" w:after="0"/>
      <w:outlineLvl w:val="4"/>
    </w:pPr>
    <w:rPr>
      <w:rFonts w:ascii="Calibri" w:eastAsia="Calibri" w:hAnsi="Calibri" w:cs="Calibri"/>
      <w:color w:val="243F61"/>
    </w:rPr>
  </w:style>
  <w:style w:type="paragraph" w:styleId="Heading6">
    <w:name w:val="heading 6"/>
    <w:basedOn w:val="Normal"/>
    <w:next w:val="Normal"/>
    <w:uiPriority w:val="9"/>
    <w:semiHidden/>
    <w:unhideWhenUsed/>
    <w:qFormat/>
    <w:pPr>
      <w:keepNext/>
      <w:keepLines/>
      <w:spacing w:before="200" w:after="0"/>
      <w:outlineLvl w:val="5"/>
    </w:pPr>
    <w:rPr>
      <w:rFonts w:ascii="Calibri" w:eastAsia="Calibri" w:hAnsi="Calibri" w:cs="Calibri"/>
      <w:i/>
      <w:color w:val="243F6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bottom w:val="single" w:sz="8" w:space="4" w:color="4F81BD"/>
      </w:pBdr>
      <w:spacing w:after="300" w:line="240" w:lineRule="auto"/>
    </w:pPr>
    <w:rPr>
      <w:rFonts w:ascii="Calibri" w:eastAsia="Calibri" w:hAnsi="Calibri" w:cs="Calibri"/>
      <w:color w:val="17365D"/>
      <w:sz w:val="52"/>
      <w:szCs w:val="52"/>
    </w:rPr>
  </w:style>
  <w:style w:type="paragraph" w:styleId="Subtitle">
    <w:name w:val="Subtitle"/>
    <w:basedOn w:val="Normal"/>
    <w:next w:val="Normal"/>
    <w:uiPriority w:val="11"/>
    <w:qFormat/>
    <w:rPr>
      <w:rFonts w:ascii="Calibri" w:eastAsia="Calibri" w:hAnsi="Calibri" w:cs="Calibri"/>
      <w:i/>
      <w:color w:val="4F81BD"/>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 Id="rId9" Type="http://schemas.openxmlformats.org/officeDocument/2006/relationships/image" Target="media/image4.png"/><Relationship Id="rId10"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442</Words>
  <Characters>2525</Characters>
  <Application>Microsoft Office Word</Application>
  <DocSecurity>0</DocSecurity>
  <Lines>21</Lines>
  <Paragraphs>5</Paragraphs>
  <ScaleCrop>false</ScaleCrop>
  <Company/>
  <LinksUpToDate>false</LinksUpToDate>
  <CharactersWithSpaces>2962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Rajesh Banginwar FACULTY OF CIE ,PESU</cp:lastModifiedBy>
  <cp:revision>2</cp:revision>
  <dcterms:created xsi:type="dcterms:W3CDTF">2025-09-09T09:54:00Z</dcterms:created>
  <dcterms:modified xsi:type="dcterms:W3CDTF">2025-09-09T09:54:00Z</dcterms:modified>
</cp:coreProperties>
</file>