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9633" w:type="dxa"/>
        <w:jc w:val="left"/>
        <w:tblInd w:w="287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433"/>
        <w:gridCol w:w="1144"/>
        <w:gridCol w:w="3784"/>
        <w:gridCol w:w="1589"/>
        <w:gridCol w:w="1682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7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frontend)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Tabella requisiti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 + Maps class from Gmaps JS API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(Mappa,Viaggio,Tappe)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resource model diagram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inizio resource/api diagram, progettazione generale D4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API resource model diagram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16/12/2022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22/12/2022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23/12/2022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24/12/2022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25/12/2022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27/12/2022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backend)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Gestione profilo, Registrarsi al sito, Accedere al sito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modifica Registrarsi al sito e Gestione profilo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(Utente,VisualizzazioneViaggio,RicercaViaggio)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Implementazione OCL nel Diagramma delle Classi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19/11/2022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viaggio, progettazione generale D4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api searchViaggio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24/12/2022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 + testing with jest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28/12/2022</w:t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Sistemazioni generali + testing with jest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29/12/2022</w:t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 Flow Diagram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30/12/2022</w:t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progetto+ ideazione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Repo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obbiettivi funzionali e non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(creazione mockup)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Conversione e sistemazione file di analisi requisiti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03-08/10/2022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Deliverable 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attore Database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generale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finale e creazione documento bozza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 + Creazione Documento D2, Sistemazione D1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09-10/11/2022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(Login,Registrazione,Ricercaprofili)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ocl+Creazione Bozza D3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23-24/11/2022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30/11/2022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D3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struttura codice D4 + authentication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11-12/12/2022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D4 server-app.js, e user signup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 (generale, autenticazione e user)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14-15/12/2022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users, progettazione generale D4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529</Words>
  <Characters>3468</Characters>
  <CharactersWithSpaces>3751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2022-12-30T17:54:52Z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