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03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t>11.3.2017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eastAsia="zh-CN"/>
              </w:rPr>
              <w:t>15:48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-17:00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 xml:space="preserve">工作完成情况: 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上周完成了项目的主题和内容确定、做了OBS、WBS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项目交迟了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确定需求分析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1/5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总结可行性分析，讨论需求分析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确定需求分析的问题，制作访谈问卷；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性能需求中，用对象池提高性能，算法优化怪物寻路特色；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可靠性方面，提高测试量，将出BUG的几率降到最低，确保游戏能通关，确保程序的健壮性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游戏在出现违规操作时会出现闪退，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工具：Unity3D、硬件平台：安卓、约束：使用运行内存、将来可能提出的要求：动画、音效、教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程、特殊的防御塔和怪兽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快速原型：模仿保卫萝卜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我们项目的主要成本在于学习成本，需要组长时刻监督我们对Unity的使用学习</w:t>
            </w:r>
          </w:p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进度。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美术资源的解决方案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设计访谈问卷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画出实体联系图和状态转换图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/5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458B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2017-11-03T08:31:39Z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