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01"/>
        <w:gridCol w:w="1540"/>
        <w:gridCol w:w="2439"/>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2020.11.24-2020.11.31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2020.12.1-2020.12.5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p>
        </w:tc>
        <w:tc>
          <w:tcPr>
            <w:tcW w:w="1704" w:type="dxa"/>
            <w:vAlign w:val="center"/>
          </w:tcPr>
          <w:p>
            <w:pPr>
              <w:ind w:left="0" w:leftChars="0" w:firstLine="0" w:firstLineChars="0"/>
              <w:jc w:val="center"/>
              <w:rPr>
                <w:rFonts w:hint="default"/>
                <w:vertAlign w:val="baseline"/>
                <w:lang w:val="en-US" w:eastAsia="zh-CN"/>
              </w:rPr>
            </w:pPr>
          </w:p>
        </w:tc>
        <w:tc>
          <w:tcPr>
            <w:tcW w:w="1704" w:type="dxa"/>
            <w:vAlign w:val="center"/>
          </w:tcPr>
          <w:p>
            <w:pPr>
              <w:ind w:left="0" w:leftChars="0" w:firstLine="0" w:firstLineChars="0"/>
              <w:jc w:val="center"/>
              <w:rPr>
                <w:rFonts w:hint="default"/>
                <w:vertAlign w:val="baseline"/>
                <w:lang w:val="en-US" w:eastAsia="zh-CN"/>
              </w:rPr>
            </w:pPr>
          </w:p>
        </w:tc>
        <w:tc>
          <w:tcPr>
            <w:tcW w:w="1705" w:type="dxa"/>
            <w:vAlign w:val="center"/>
          </w:tcPr>
          <w:p>
            <w:pPr>
              <w:ind w:left="0" w:leftChars="0" w:firstLine="0" w:firstLineChars="0"/>
              <w:jc w:val="center"/>
              <w:rPr>
                <w:rFonts w:hint="default"/>
                <w:vertAlign w:val="baseline"/>
                <w:lang w:val="en-US" w:eastAsia="zh-CN"/>
              </w:rPr>
            </w:pPr>
          </w:p>
        </w:tc>
        <w:tc>
          <w:tcPr>
            <w:tcW w:w="1705" w:type="dxa"/>
            <w:vAlign w:val="center"/>
          </w:tcPr>
          <w:p>
            <w:pPr>
              <w:ind w:left="0" w:leftChars="0" w:firstLine="0" w:firstLineChars="0"/>
              <w:jc w:val="center"/>
              <w:rPr>
                <w:rFonts w:hint="default"/>
                <w:vertAlign w:val="baseline"/>
                <w:lang w:val="en-US" w:eastAsia="zh-CN"/>
              </w:rPr>
            </w:pP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bookmarkStart w:id="184" w:name="_GoBack"/>
      <w:bookmarkEnd w:id="184"/>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938395"/>
      <w:bookmarkStart w:id="1" w:name="_Toc235938030"/>
      <w:bookmarkStart w:id="2" w:name="_Toc235842270"/>
      <w:bookmarkStart w:id="3" w:name="_Toc235842518"/>
      <w:r>
        <w:rPr>
          <w:rFonts w:hint="eastAsia"/>
        </w:rPr>
        <w:t>1引言</w:t>
      </w:r>
      <w:bookmarkEnd w:id="0"/>
      <w:bookmarkEnd w:id="1"/>
      <w:bookmarkEnd w:id="2"/>
      <w:bookmarkEnd w:id="3"/>
    </w:p>
    <w:p>
      <w:pPr>
        <w:pStyle w:val="3"/>
      </w:pPr>
      <w:bookmarkStart w:id="4" w:name="_Toc235842271"/>
      <w:bookmarkStart w:id="5" w:name="_Toc235842519"/>
      <w:bookmarkStart w:id="6" w:name="_Toc235938031"/>
      <w:bookmarkStart w:id="7" w:name="_Toc235938396"/>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272"/>
      <w:bookmarkStart w:id="9" w:name="_Toc235842520"/>
      <w:bookmarkStart w:id="10" w:name="_Toc235938032"/>
      <w:bookmarkStart w:id="11" w:name="_Toc235938397"/>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勇士用过本平台分享自己的高级解法来展示自己的思维。</w:t>
      </w:r>
    </w:p>
    <w:p>
      <w:pPr>
        <w:pStyle w:val="3"/>
      </w:pPr>
      <w:bookmarkStart w:id="12" w:name="_Toc235938033"/>
      <w:bookmarkStart w:id="13" w:name="_Toc235938398"/>
      <w:bookmarkStart w:id="14" w:name="_Toc235842273"/>
      <w:bookmarkStart w:id="15" w:name="_Toc235842521"/>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842274"/>
      <w:bookmarkStart w:id="17" w:name="_Toc235842522"/>
      <w:bookmarkStart w:id="18" w:name="_Toc235938034"/>
      <w:bookmarkStart w:id="19" w:name="_Toc235938399"/>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035"/>
      <w:bookmarkStart w:id="21" w:name="_Toc235938400"/>
      <w:bookmarkStart w:id="22" w:name="_Toc235842275"/>
      <w:bookmarkStart w:id="23" w:name="_Toc235842523"/>
      <w:r>
        <w:rPr>
          <w:rFonts w:hint="eastAsia"/>
        </w:rPr>
        <w:t>2引用文件</w:t>
      </w:r>
      <w:bookmarkEnd w:id="20"/>
      <w:bookmarkEnd w:id="21"/>
      <w:bookmarkEnd w:id="22"/>
      <w:bookmarkEnd w:id="23"/>
    </w:p>
    <w:p>
      <w:pPr>
        <w:numPr>
          <w:ilvl w:val="0"/>
          <w:numId w:val="1"/>
        </w:numPr>
        <w:ind w:firstLine="0" w:firstLineChars="0"/>
        <w:rPr>
          <w:rFonts w:hint="eastAsia"/>
        </w:rPr>
      </w:pPr>
      <w:bookmarkStart w:id="24" w:name="_Toc235842524"/>
      <w:bookmarkStart w:id="25" w:name="_Toc235842276"/>
      <w:r>
        <w:rPr>
          <w:rFonts w:hint="eastAsia"/>
        </w:rPr>
        <w:t>张海藩,牟永敏.软件工程导论（第6版）[M].清华大学出版社:北京,2012年8月:35.</w:t>
      </w:r>
    </w:p>
    <w:p>
      <w:pPr>
        <w:numPr>
          <w:ilvl w:val="0"/>
          <w:numId w:val="1"/>
        </w:numPr>
        <w:ind w:firstLine="0" w:firstLineChars="0"/>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842277"/>
      <w:bookmarkStart w:id="31" w:name="_Toc235842525"/>
      <w:bookmarkStart w:id="32" w:name="_Toc235938037"/>
      <w:bookmarkStart w:id="33" w:name="_Toc235938402"/>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938403"/>
      <w:bookmarkStart w:id="35" w:name="_Toc235842526"/>
      <w:bookmarkStart w:id="36" w:name="_Toc235938038"/>
      <w:bookmarkStart w:id="37" w:name="_Toc235842278"/>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938039"/>
      <w:bookmarkStart w:id="39" w:name="_Toc235842527"/>
      <w:bookmarkStart w:id="40" w:name="_Toc235842279"/>
      <w:bookmarkStart w:id="41" w:name="_Toc235938404"/>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开发环境</w:t>
      </w:r>
    </w:p>
    <w:p>
      <w:pPr>
        <w:numPr>
          <w:ilvl w:val="0"/>
          <w:numId w:val="0"/>
        </w:numPr>
        <w:ind w:left="420" w:leftChars="0" w:firstLine="420" w:firstLineChars="0"/>
        <w:jc w:val="both"/>
        <w:rPr>
          <w:rFonts w:hint="default" w:eastAsia="宋体"/>
          <w:lang w:val="en-US" w:eastAsia="zh-CN"/>
        </w:rPr>
      </w:pPr>
      <w:r>
        <w:rPr>
          <w:rFonts w:hint="eastAsia"/>
          <w:lang w:val="en-US" w:eastAsia="zh-CN"/>
        </w:rPr>
        <w:t>小组租用的服务器以及成员计算机所提供的运行环境下开发。</w:t>
      </w:r>
    </w:p>
    <w:p>
      <w:pPr>
        <w:numPr>
          <w:ilvl w:val="0"/>
          <w:numId w:val="3"/>
        </w:numPr>
        <w:jc w:val="both"/>
        <w:rPr>
          <w:rFonts w:hint="default" w:eastAsia="宋体"/>
          <w:lang w:val="en-US" w:eastAsia="zh-CN"/>
        </w:rPr>
      </w:pPr>
      <w:r>
        <w:rPr>
          <w:rFonts w:hint="eastAsia"/>
          <w:lang w:val="en-US" w:eastAsia="zh-CN"/>
        </w:rPr>
        <w:t>开发条件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开发假定</w:t>
      </w:r>
    </w:p>
    <w:p>
      <w:pPr>
        <w:numPr>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开发限定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842280"/>
      <w:bookmarkStart w:id="43" w:name="_Toc235842528"/>
      <w:bookmarkStart w:id="44" w:name="_Toc235938405"/>
      <w:bookmarkStart w:id="45" w:name="_Toc23593804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进行可行性和分析的方法一般有网络调查、用户调查、专家咨询、市场相关产品及同类产品的调查。分析已有的数独在线做题平台、小组进行头脑风暴会议等方法。</w:t>
      </w:r>
    </w:p>
    <w:p>
      <w:pPr>
        <w:pStyle w:val="2"/>
      </w:pPr>
      <w:bookmarkStart w:id="46" w:name="_Toc235842281"/>
      <w:bookmarkStart w:id="47" w:name="_Toc235938406"/>
      <w:bookmarkStart w:id="48" w:name="_Toc235842529"/>
      <w:bookmarkStart w:id="49" w:name="_Toc235938041"/>
      <w:r>
        <w:rPr>
          <w:rFonts w:hint="eastAsia"/>
        </w:rPr>
        <w:t>4可选的方案</w:t>
      </w:r>
      <w:bookmarkEnd w:id="46"/>
      <w:bookmarkEnd w:id="47"/>
      <w:bookmarkEnd w:id="48"/>
      <w:bookmarkEnd w:id="49"/>
    </w:p>
    <w:p>
      <w:pPr>
        <w:pStyle w:val="3"/>
      </w:pPr>
      <w:bookmarkStart w:id="50" w:name="_Toc235938407"/>
      <w:bookmarkStart w:id="51" w:name="_Toc235842282"/>
      <w:bookmarkStart w:id="52" w:name="_Toc235842530"/>
      <w:bookmarkStart w:id="53" w:name="_Toc235938042"/>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938408"/>
      <w:bookmarkStart w:id="55" w:name="_Toc235842531"/>
      <w:bookmarkStart w:id="56" w:name="_Toc235938043"/>
      <w:bookmarkStart w:id="57" w:name="_Toc23584228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842532"/>
      <w:bookmarkStart w:id="59" w:name="_Toc235938409"/>
      <w:bookmarkStart w:id="60" w:name="_Toc235842284"/>
      <w:bookmarkStart w:id="61" w:name="_Toc235938044"/>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842533"/>
      <w:bookmarkStart w:id="63" w:name="_Toc235938045"/>
      <w:bookmarkStart w:id="64" w:name="_Toc235938410"/>
      <w:bookmarkStart w:id="65" w:name="_Toc235842285"/>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286"/>
      <w:bookmarkStart w:id="67" w:name="_Toc235938411"/>
      <w:bookmarkStart w:id="68" w:name="_Toc235938046"/>
      <w:bookmarkStart w:id="69" w:name="_Toc235842534"/>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842535"/>
      <w:bookmarkStart w:id="71" w:name="_Toc235938047"/>
      <w:bookmarkStart w:id="72" w:name="_Toc235938412"/>
      <w:bookmarkStart w:id="73" w:name="_Toc235842287"/>
      <w:r>
        <w:rPr>
          <w:rFonts w:hint="eastAsia"/>
        </w:rPr>
        <w:t>5所建议的系统</w:t>
      </w:r>
      <w:bookmarkEnd w:id="70"/>
      <w:bookmarkEnd w:id="71"/>
      <w:bookmarkEnd w:id="72"/>
      <w:bookmarkEnd w:id="73"/>
    </w:p>
    <w:p>
      <w:pPr>
        <w:pStyle w:val="3"/>
      </w:pPr>
      <w:bookmarkStart w:id="74" w:name="_Toc235842288"/>
      <w:bookmarkStart w:id="75" w:name="_Toc235842536"/>
      <w:bookmarkStart w:id="76" w:name="_Toc235938048"/>
      <w:bookmarkStart w:id="77" w:name="_Toc235938413"/>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842537"/>
      <w:bookmarkStart w:id="79" w:name="_Toc235938049"/>
      <w:bookmarkStart w:id="80" w:name="_Toc235938414"/>
      <w:bookmarkStart w:id="81" w:name="_Toc235842289"/>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2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2"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1"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7"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5"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2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3"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7"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2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5"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2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26"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938415"/>
      <w:bookmarkStart w:id="91" w:name="_Toc235842290"/>
      <w:bookmarkStart w:id="92" w:name="_Toc235842538"/>
      <w:bookmarkStart w:id="93" w:name="_Toc23593805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eastAsia"/>
          <w:lang w:val="en-US" w:eastAsia="zh-CN"/>
        </w:rPr>
      </w:pPr>
      <w:r>
        <w:rPr>
          <w:rFonts w:hint="eastAsia"/>
          <w:lang w:val="en-US" w:eastAsia="zh-CN"/>
        </w:rPr>
        <w:t>5.3.2 优势</w:t>
      </w:r>
    </w:p>
    <w:p>
      <w:pPr>
        <w:rPr>
          <w:rFonts w:hint="default"/>
          <w:lang w:val="en-US" w:eastAsia="zh-CN"/>
        </w:rPr>
      </w:pPr>
      <w:r>
        <w:rPr>
          <w:rFonts w:hint="default"/>
          <w:lang w:val="en-US" w:eastAsia="zh-CN"/>
        </w:rPr>
        <w:t>模块：界面更加美观，操作更加方便，新增用户出题功能，丰富了数独题目的题库，让每一位爱好者都能成为“出题人”</w:t>
      </w:r>
    </w:p>
    <w:p>
      <w:pPr>
        <w:rPr>
          <w:rFonts w:hint="default"/>
          <w:lang w:val="en-US" w:eastAsia="zh-CN"/>
        </w:rPr>
      </w:pPr>
      <w:r>
        <w:rPr>
          <w:rFonts w:hint="default"/>
          <w:lang w:val="en-US" w:eastAsia="zh-CN"/>
        </w:rPr>
        <w:t>架构：方便开发，降低成本，采用阿里云服务器，降低本地服务器的压力，方便跨浏览器开发</w:t>
      </w:r>
    </w:p>
    <w:p>
      <w:pPr>
        <w:rPr>
          <w:rFonts w:hint="default"/>
          <w:lang w:val="en-US" w:eastAsia="zh-CN"/>
        </w:rPr>
      </w:pPr>
    </w:p>
    <w:p>
      <w:pPr>
        <w:pStyle w:val="4"/>
        <w:bidi w:val="0"/>
        <w:rPr>
          <w:rFonts w:hint="eastAsia"/>
          <w:lang w:val="en-US" w:eastAsia="zh-CN"/>
        </w:rPr>
      </w:pPr>
      <w:r>
        <w:rPr>
          <w:rFonts w:hint="eastAsia"/>
          <w:lang w:val="en-US" w:eastAsia="zh-CN"/>
        </w:rPr>
        <w:t>5.3.3 劣势</w:t>
      </w:r>
    </w:p>
    <w:p>
      <w:pPr>
        <w:rPr>
          <w:rFonts w:hint="default"/>
          <w:lang w:val="en-US" w:eastAsia="zh-CN"/>
        </w:rPr>
      </w:pPr>
      <w:r>
        <w:rPr>
          <w:rFonts w:hint="default"/>
          <w:lang w:val="en-US" w:eastAsia="zh-CN"/>
        </w:rPr>
        <w:t>模块：实现所有功能有一定难度，无法智能判断用户出题的难度</w:t>
      </w:r>
    </w:p>
    <w:p>
      <w:pPr>
        <w:rPr>
          <w:rFonts w:hint="default"/>
          <w:lang w:val="en-US" w:eastAsia="zh-CN"/>
        </w:rPr>
      </w:pPr>
      <w:r>
        <w:rPr>
          <w:rFonts w:hint="default"/>
          <w:lang w:val="en-US" w:eastAsia="zh-CN"/>
        </w:rPr>
        <w:t>架构：网页端的交互性远弱于移动端，且不如移动端灵活，不方便用户随时进行游戏</w:t>
      </w:r>
    </w:p>
    <w:p>
      <w:pPr>
        <w:rPr>
          <w:rFonts w:hint="default"/>
          <w:lang w:val="en-US" w:eastAsia="zh-CN"/>
        </w:rPr>
      </w:pPr>
    </w:p>
    <w:p>
      <w:pPr>
        <w:pStyle w:val="4"/>
        <w:bidi w:val="0"/>
        <w:rPr>
          <w:rFonts w:hint="eastAsia"/>
          <w:lang w:val="en-US" w:eastAsia="zh-CN"/>
        </w:rPr>
      </w:pPr>
      <w:r>
        <w:rPr>
          <w:rFonts w:hint="eastAsia"/>
          <w:lang w:val="en-US" w:eastAsia="zh-CN"/>
        </w:rPr>
        <w:t>5.3.4 机会</w:t>
      </w:r>
    </w:p>
    <w:p>
      <w:pPr>
        <w:rPr>
          <w:rFonts w:hint="default"/>
          <w:lang w:val="en-US" w:eastAsia="zh-CN"/>
        </w:rPr>
      </w:pPr>
      <w:r>
        <w:rPr>
          <w:rFonts w:hint="default"/>
          <w:lang w:val="en-US" w:eastAsia="zh-CN"/>
        </w:rPr>
        <w:t>模块：由于数独网页较少且并不完善，竞争对象不多且不具备超高的竞争力</w:t>
      </w:r>
    </w:p>
    <w:p>
      <w:pPr>
        <w:rPr>
          <w:rFonts w:hint="default"/>
          <w:lang w:val="en-US" w:eastAsia="zh-CN"/>
        </w:rPr>
      </w:pPr>
      <w:r>
        <w:rPr>
          <w:rFonts w:hint="default"/>
          <w:lang w:val="en-US" w:eastAsia="zh-CN"/>
        </w:rPr>
        <w:t>架构：对用户模块的注重可以激起用户之间的良性竞争，从而吸引用户身边的潜在用户注册游玩</w:t>
      </w:r>
    </w:p>
    <w:p>
      <w:pPr>
        <w:rPr>
          <w:rFonts w:hint="default"/>
          <w:lang w:val="en-US" w:eastAsia="zh-CN"/>
        </w:rPr>
      </w:pPr>
    </w:p>
    <w:p>
      <w:pPr>
        <w:pStyle w:val="4"/>
        <w:bidi w:val="0"/>
        <w:rPr>
          <w:rFonts w:hint="eastAsia"/>
          <w:lang w:val="en-US" w:eastAsia="zh-CN"/>
        </w:rPr>
      </w:pPr>
      <w:r>
        <w:rPr>
          <w:rFonts w:hint="eastAsia"/>
          <w:lang w:val="en-US" w:eastAsia="zh-CN"/>
        </w:rPr>
        <w:t>5.3.5 威胁</w:t>
      </w:r>
    </w:p>
    <w:p>
      <w:pPr>
        <w:rPr>
          <w:rFonts w:hint="default"/>
          <w:lang w:val="en-US" w:eastAsia="zh-CN"/>
        </w:rPr>
      </w:pPr>
      <w:r>
        <w:rPr>
          <w:rFonts w:hint="default"/>
          <w:lang w:val="en-US" w:eastAsia="zh-CN"/>
        </w:rPr>
        <w:t>模块：数独本身就是小众的游戏，其发展并不快，若有人开发出更有趣的数独玩法会迅速占领市场</w:t>
      </w:r>
    </w:p>
    <w:p>
      <w:pPr>
        <w:rPr>
          <w:rFonts w:hint="default"/>
          <w:lang w:val="en-US" w:eastAsia="zh-CN"/>
        </w:rPr>
      </w:pPr>
      <w:r>
        <w:rPr>
          <w:rFonts w:hint="default"/>
          <w:lang w:val="en-US" w:eastAsia="zh-CN"/>
        </w:rPr>
        <w:t>架构：B/S架构相较于C/S架构安全性不够，容易遭到攻击</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路线模块，多了数独解法模块和天梯排位模块，少的这一模块是我们和用户讨论过后，用户觉得录像的学习功效没有解法分享高，所以我们才将数独路线模块替换为数独解法模块，同时为了增加竞技性，我们加了一个天梯排位模块。</w:t>
      </w:r>
    </w:p>
    <w:p>
      <w:pPr>
        <w:pStyle w:val="3"/>
        <w:bidi w:val="0"/>
        <w:rPr>
          <w:rFonts w:hint="eastAsia"/>
        </w:rPr>
      </w:pPr>
      <w:bookmarkStart w:id="94" w:name="_Toc235938416"/>
      <w:bookmarkStart w:id="95" w:name="_Toc235842539"/>
      <w:bookmarkStart w:id="96" w:name="_Toc235938051"/>
      <w:bookmarkStart w:id="97" w:name="_Toc23584229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提点对做题的9*9表格进行操作，使用先进的前端界面技术与浏览器界面，是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417"/>
      <w:bookmarkStart w:id="99" w:name="_Toc235842292"/>
      <w:bookmarkStart w:id="100" w:name="_Toc235842540"/>
      <w:bookmarkStart w:id="101" w:name="_Toc23593805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541"/>
      <w:bookmarkStart w:id="103" w:name="_Toc235938053"/>
      <w:bookmarkStart w:id="104" w:name="_Toc235938418"/>
      <w:bookmarkStart w:id="105" w:name="_Toc235842293"/>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842542"/>
      <w:bookmarkStart w:id="107" w:name="_Toc235938054"/>
      <w:bookmarkStart w:id="108" w:name="_Toc235938419"/>
      <w:bookmarkStart w:id="109" w:name="_Toc23584229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938055"/>
      <w:bookmarkStart w:id="111" w:name="_Toc235938420"/>
      <w:bookmarkStart w:id="112" w:name="_Toc235842543"/>
      <w:bookmarkStart w:id="113" w:name="_Toc235842295"/>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938056"/>
      <w:bookmarkStart w:id="115" w:name="_Toc235938421"/>
      <w:bookmarkStart w:id="116" w:name="_Toc235842544"/>
      <w:bookmarkStart w:id="117" w:name="_Toc235842296"/>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842297"/>
      <w:bookmarkStart w:id="119" w:name="_Toc235938057"/>
      <w:bookmarkStart w:id="120" w:name="_Toc235938422"/>
      <w:bookmarkStart w:id="121" w:name="_Toc235842545"/>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842298"/>
      <w:bookmarkStart w:id="123" w:name="_Toc235842546"/>
      <w:bookmarkStart w:id="124" w:name="_Toc235938423"/>
      <w:bookmarkStart w:id="125" w:name="_Toc235938058"/>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424"/>
      <w:bookmarkStart w:id="127" w:name="_Toc235842299"/>
      <w:bookmarkStart w:id="128" w:name="_Toc235842547"/>
      <w:bookmarkStart w:id="129" w:name="_Toc235938059"/>
      <w:r>
        <w:rPr>
          <w:rFonts w:hint="eastAsia"/>
        </w:rPr>
        <w:t>6经济可行性(成本</w:t>
      </w:r>
      <w:r>
        <w:t>----</w:t>
      </w:r>
      <w:r>
        <w:rPr>
          <w:rFonts w:hint="eastAsia"/>
        </w:rPr>
        <w:t>效益分析)</w:t>
      </w:r>
      <w:bookmarkEnd w:id="126"/>
      <w:bookmarkEnd w:id="127"/>
      <w:bookmarkEnd w:id="128"/>
      <w:bookmarkEnd w:id="129"/>
    </w:p>
    <w:p>
      <w:pPr>
        <w:pStyle w:val="3"/>
      </w:pPr>
      <w:bookmarkStart w:id="130" w:name="_Toc235842548"/>
      <w:bookmarkStart w:id="131" w:name="_Toc235938425"/>
      <w:bookmarkStart w:id="132" w:name="_Toc235842300"/>
      <w:bookmarkStart w:id="133" w:name="_Toc235938060"/>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426"/>
      <w:bookmarkStart w:id="135" w:name="_Toc235842549"/>
      <w:bookmarkStart w:id="136" w:name="_Toc235842301"/>
      <w:bookmarkStart w:id="137" w:name="_Toc235938061"/>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938427"/>
      <w:bookmarkStart w:id="139" w:name="_Toc235842550"/>
      <w:bookmarkStart w:id="140" w:name="_Toc235938062"/>
      <w:bookmarkStart w:id="141" w:name="_Toc235842302"/>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842551"/>
      <w:bookmarkStart w:id="143" w:name="_Toc235938063"/>
      <w:bookmarkStart w:id="144" w:name="_Toc235842303"/>
      <w:bookmarkStart w:id="145" w:name="_Toc235938428"/>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938064"/>
      <w:bookmarkStart w:id="147" w:name="_Toc235938429"/>
      <w:bookmarkStart w:id="148" w:name="_Toc235842304"/>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938065"/>
      <w:bookmarkStart w:id="151" w:name="_Toc235938430"/>
      <w:bookmarkStart w:id="152" w:name="_Toc235842305"/>
      <w:bookmarkStart w:id="153" w:name="_Toc235842553"/>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842306"/>
      <w:bookmarkStart w:id="155" w:name="_Toc235938431"/>
      <w:bookmarkStart w:id="156" w:name="_Toc235842554"/>
      <w:bookmarkStart w:id="157" w:name="_Toc235938066"/>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842307"/>
      <w:bookmarkStart w:id="159" w:name="_Toc235842555"/>
      <w:bookmarkStart w:id="160" w:name="_Toc235938067"/>
      <w:bookmarkStart w:id="161" w:name="_Toc235938432"/>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842308"/>
      <w:bookmarkStart w:id="163" w:name="_Toc235842556"/>
      <w:bookmarkStart w:id="164" w:name="_Toc235938068"/>
      <w:bookmarkStart w:id="165" w:name="_Toc235938433"/>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938434"/>
      <w:bookmarkStart w:id="167" w:name="_Toc235842557"/>
      <w:bookmarkStart w:id="168" w:name="_Toc235938069"/>
      <w:bookmarkStart w:id="169" w:name="_Toc235842309"/>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070"/>
      <w:bookmarkStart w:id="171" w:name="_Toc235842310"/>
      <w:bookmarkStart w:id="172" w:name="_Toc235938435"/>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938436"/>
      <w:bookmarkStart w:id="175" w:name="_Toc235938071"/>
      <w:bookmarkStart w:id="176" w:name="_Toc235842559"/>
      <w:bookmarkStart w:id="177" w:name="_Toc235842311"/>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938437"/>
      <w:bookmarkStart w:id="179" w:name="_Toc235938072"/>
      <w:bookmarkStart w:id="180" w:name="_Toc235842312"/>
      <w:bookmarkStart w:id="181" w:name="_Toc235842560"/>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438"/>
      <w:bookmarkStart w:id="183" w:name="_Toc235938073"/>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DC6053F"/>
    <w:rsid w:val="21465283"/>
    <w:rsid w:val="2A973744"/>
    <w:rsid w:val="37044849"/>
    <w:rsid w:val="395F0EF4"/>
    <w:rsid w:val="3B94391B"/>
    <w:rsid w:val="401E692C"/>
    <w:rsid w:val="450B55B7"/>
    <w:rsid w:val="4CCB0C61"/>
    <w:rsid w:val="4DDD6FB2"/>
    <w:rsid w:val="514F0045"/>
    <w:rsid w:val="519C0801"/>
    <w:rsid w:val="566D48CA"/>
    <w:rsid w:val="606543E2"/>
    <w:rsid w:val="607B1072"/>
    <w:rsid w:val="66385D55"/>
    <w:rsid w:val="66FB39A3"/>
    <w:rsid w:val="670F21EB"/>
    <w:rsid w:val="697936C0"/>
    <w:rsid w:val="7AB460EE"/>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5">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7">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17">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21">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22">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3">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25">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26">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9</TotalTime>
  <ScaleCrop>false</ScaleCrop>
  <LinksUpToDate>false</LinksUpToDate>
  <CharactersWithSpaces>8447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191212321251521</cp:lastModifiedBy>
  <dcterms:modified xsi:type="dcterms:W3CDTF">2020-11-06T08:50:09Z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