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COMP 175 — System Administration and Security</w:t>
      </w:r>
    </w:p>
    <w:p>
      <w:r>
        <w:t xml:space="preserve">Fall 2026 Syllabus — University of the Pacific</w:t>
      </w:r>
    </w:p>
    <w:p>
      <w:r>
        <w:t xml:space="preserve"/>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Course</w:t>
            </w:r>
          </w:p>
        </w:tc>
        <w:tc>
          <w:tcPr>
            <w:tcW w:w="0" w:type="auto"/>
          </w:tcPr>
          <w:p>
            <w:r>
              <w:rPr>
                <w:b/>
              </w:rPr>
              <w:t xml:space="preserve">COMP 175-01, CRN 80249</w:t>
            </w:r>
          </w:p>
        </w:tc>
      </w:tr>
      <w:tr>
        <w:tc>
          <w:tcPr>
            <w:tcW w:w="0" w:type="auto"/>
          </w:tcPr>
          <w:p>
            <w:r>
              <w:t xml:space="preserve">Term</w:t>
            </w:r>
          </w:p>
        </w:tc>
        <w:tc>
          <w:tcPr>
            <w:tcW w:w="0" w:type="auto"/>
          </w:tcPr>
          <w:p>
            <w:r>
              <w:t xml:space="preserve">Fall 2026 (Aug 24 – Dec 11, 2026)</w:t>
            </w:r>
          </w:p>
        </w:tc>
      </w:tr>
      <w:tr>
        <w:tc>
          <w:tcPr>
            <w:tcW w:w="0" w:type="auto"/>
          </w:tcPr>
          <w:p>
            <w:r>
              <w:t xml:space="preserve">Meeting Time</w:t>
            </w:r>
          </w:p>
        </w:tc>
        <w:tc>
          <w:tcPr>
            <w:tcW w:w="0" w:type="auto"/>
          </w:tcPr>
          <w:p>
            <w:r>
              <w:t xml:space="preserve">Tuesday, Thursday, 8:25 AM – 9:45 AM</w:t>
            </w:r>
          </w:p>
        </w:tc>
      </w:tr>
      <w:tr>
        <w:tc>
          <w:tcPr>
            <w:tcW w:w="0" w:type="auto"/>
          </w:tcPr>
          <w:p>
            <w:r>
              <w:t xml:space="preserve">Location</w:t>
            </w:r>
          </w:p>
        </w:tc>
        <w:tc>
          <w:tcPr>
            <w:tcW w:w="0" w:type="auto"/>
          </w:tcPr>
          <w:p>
            <w:r>
              <w:t xml:space="preserve">John T Chambers Technology Ctr 214</w:t>
            </w:r>
          </w:p>
        </w:tc>
      </w:tr>
      <w:tr>
        <w:tc>
          <w:tcPr>
            <w:tcW w:w="0" w:type="auto"/>
          </w:tcPr>
          <w:p>
            <w:r>
              <w:t xml:space="preserve">Credits</w:t>
            </w:r>
          </w:p>
        </w:tc>
        <w:tc>
          <w:tcPr>
            <w:tcW w:w="0" w:type="auto"/>
          </w:tcPr>
          <w:p>
            <w:r>
              <w:t xml:space="preserve">3.000</w:t>
            </w:r>
          </w:p>
        </w:tc>
      </w:tr>
      <w:tr>
        <w:tc>
          <w:tcPr>
            <w:tcW w:w="0" w:type="auto"/>
          </w:tcPr>
          <w:p>
            <w:r>
              <w:t xml:space="preserve">Prerequisites</w:t>
            </w:r>
          </w:p>
        </w:tc>
        <w:tc>
          <w:tcPr>
            <w:tcW w:w="0" w:type="auto"/>
          </w:tcPr>
          <w:p>
            <w:r>
              <w:t xml:space="preserve">Junior standing</w:t>
            </w:r>
          </w:p>
        </w:tc>
      </w:tr>
      <w:tr>
        <w:tc>
          <w:tcPr>
            <w:tcW w:w="0" w:type="auto"/>
          </w:tcPr>
          <w:p>
            <w:r>
              <w:t xml:space="preserve">Office Hours</w:t>
            </w:r>
          </w:p>
        </w:tc>
        <w:tc>
          <w:tcPr>
            <w:tcW w:w="0" w:type="auto"/>
          </w:tcPr>
          <w:p>
            <w:r>
              <w:t xml:space="preserve">Tuesday, Thursday 1:00–2:00 PM, CTC 117, or Zoom (link on Canvas)</w:t>
            </w:r>
          </w:p>
        </w:tc>
      </w:tr>
      <w:tr>
        <w:tc>
          <w:tcPr>
            <w:tcW w:w="0" w:type="auto"/>
          </w:tcPr>
          <w:p>
            <w:r>
              <w:t xml:space="preserve">Canvas</w:t>
            </w:r>
          </w:p>
        </w:tc>
        <w:tc>
          <w:tcPr>
            <w:tcW w:w="0" w:type="auto"/>
          </w:tcPr>
          <w:p>
            <w:r>
              <w:t xml:space="preserve">pacific.instructure.com/courses/146243</w:t>
            </w:r>
          </w:p>
        </w:tc>
      </w:tr>
    </w:tbl>
    <w:p>
      <w:pPr>
        <w:pStyle w:val="Heading1"/>
      </w:pPr>
      <w:r>
        <w:t xml:space="preserve">Course Description</w:t>
      </w:r>
    </w:p>
    <w:p>
      <w:r>
        <w:t xml:space="preserve">An introduction to system administration of modern network servers and applications, from an administrator's standpoint: proper allocation of disk resources, maintaining the operating system and subsystems, and techniques for data confidentiality, integrity, and availability at both the network and host level — server hardening, firewalls, account administration, change management, and intrusion detection — to resist common attacks and vulnerabilities.</w:t>
      </w:r>
    </w:p>
    <w:p>
      <w:r>
        <w:t xml:space="preserve">Topics include virtualization, file systems, resource provisioning, command-line usage, containerized deployment, password security, network configuration, scripting, and IT automation.</w:t>
      </w:r>
    </w:p>
    <w:p>
      <w:r>
        <w:t xml:space="preserve">All hands-on work uses local virtual machines (VMware/VirtualBox) rather than a cloud provider.</w:t>
      </w:r>
    </w:p>
    <w:p>
      <w:pPr>
        <w:pStyle w:val="Heading1"/>
      </w:pPr>
      <w:r>
        <w:t xml:space="preserve">Learning Objectives</w:t>
      </w:r>
    </w:p>
    <w:p>
      <w:pPr>
        <w:pStyle w:val="ListBullet"/>
      </w:pPr>
      <w:r>
        <w:t xml:space="preserve">•  Detail system administrator tasks, roles, and responsibilities</w:t>
      </w:r>
    </w:p>
    <w:p>
      <w:pPr>
        <w:pStyle w:val="ListBullet"/>
      </w:pPr>
      <w:r>
        <w:t xml:space="preserve">•  Install and configure UNIX systems</w:t>
      </w:r>
    </w:p>
    <w:p>
      <w:pPr>
        <w:pStyle w:val="ListBullet"/>
      </w:pPr>
      <w:r>
        <w:t xml:space="preserve">•  Manage UNIX users, file systems and devices</w:t>
      </w:r>
    </w:p>
    <w:p>
      <w:pPr>
        <w:pStyle w:val="ListBullet"/>
      </w:pPr>
      <w:r>
        <w:t xml:space="preserve">•  Configure UNIX networking</w:t>
      </w:r>
    </w:p>
    <w:p>
      <w:pPr>
        <w:pStyle w:val="ListBullet"/>
      </w:pPr>
      <w:r>
        <w:t xml:space="preserve">•  Use security mechanisms to protect the operating system and network services</w:t>
      </w:r>
    </w:p>
    <w:p>
      <w:pPr>
        <w:pStyle w:val="ListBullet"/>
      </w:pPr>
      <w:r>
        <w:t xml:space="preserve">•  Monitor and analyze system problems</w:t>
      </w:r>
    </w:p>
    <w:p>
      <w:pPr>
        <w:pStyle w:val="Heading1"/>
      </w:pPr>
      <w:r>
        <w:t xml:space="preserve">Course Topics</w:t>
      </w:r>
    </w:p>
    <w:p>
      <w:pPr>
        <w:pStyle w:val="ListBullet"/>
      </w:pPr>
      <w:r>
        <w:t xml:space="preserve">•  Virtualization</w:t>
      </w:r>
    </w:p>
    <w:p>
      <w:pPr>
        <w:pStyle w:val="ListBullet"/>
      </w:pPr>
      <w:r>
        <w:t xml:space="preserve">•  File Systems</w:t>
      </w:r>
    </w:p>
    <w:p>
      <w:pPr>
        <w:pStyle w:val="ListBullet"/>
      </w:pPr>
      <w:r>
        <w:t xml:space="preserve">•  Commands</w:t>
      </w:r>
    </w:p>
    <w:p>
      <w:pPr>
        <w:pStyle w:val="ListBullet"/>
      </w:pPr>
      <w:r>
        <w:t xml:space="preserve">•  Shells</w:t>
      </w:r>
    </w:p>
    <w:p>
      <w:pPr>
        <w:pStyle w:val="ListBullet"/>
      </w:pPr>
      <w:r>
        <w:t xml:space="preserve">•  Processes</w:t>
      </w:r>
    </w:p>
    <w:p>
      <w:pPr>
        <w:pStyle w:val="ListBullet"/>
      </w:pPr>
      <w:r>
        <w:t xml:space="preserve">•  Daemons</w:t>
      </w:r>
    </w:p>
    <w:p>
      <w:pPr>
        <w:pStyle w:val="ListBullet"/>
      </w:pPr>
      <w:r>
        <w:t xml:space="preserve">•  DHCP</w:t>
      </w:r>
    </w:p>
    <w:p>
      <w:pPr>
        <w:pStyle w:val="ListBullet"/>
      </w:pPr>
      <w:r>
        <w:t xml:space="preserve">•  DNS</w:t>
      </w:r>
    </w:p>
    <w:p>
      <w:pPr>
        <w:pStyle w:val="ListBullet"/>
      </w:pPr>
      <w:r>
        <w:t xml:space="preserve">•  Event Logging</w:t>
      </w:r>
    </w:p>
    <w:p>
      <w:pPr>
        <w:pStyle w:val="ListBullet"/>
      </w:pPr>
      <w:r>
        <w:t xml:space="preserve">•  Network Time Protocol</w:t>
      </w:r>
    </w:p>
    <w:p>
      <w:pPr>
        <w:pStyle w:val="ListBullet"/>
      </w:pPr>
      <w:r>
        <w:t xml:space="preserve">•  Scripting</w:t>
      </w:r>
    </w:p>
    <w:p>
      <w:pPr>
        <w:pStyle w:val="ListBullet"/>
      </w:pPr>
      <w:r>
        <w:t xml:space="preserve">•  Firewalls</w:t>
      </w:r>
    </w:p>
    <w:p>
      <w:pPr>
        <w:pStyle w:val="Heading1"/>
      </w:pPr>
      <w:r>
        <w:t xml:space="preserve">Teaching Methodology</w:t>
      </w:r>
    </w:p>
    <w:p>
      <w:r>
        <w:t xml:space="preserve">This course consists of lectures paired with hands-on labs. The labs supplement and expand the lecture material with hands-on practice on real services and components. No required textbook; assigned readings support the lecture material.</w:t>
      </w:r>
    </w:p>
    <w:p>
      <w:pPr>
        <w:pStyle w:val="Heading1"/>
      </w:pPr>
      <w:r>
        <w:t xml:space="preserve">Grading</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Component</w:t>
            </w:r>
          </w:p>
        </w:tc>
        <w:tc>
          <w:tcPr>
            <w:tcW w:w="0" w:type="auto"/>
          </w:tcPr>
          <w:p>
            <w:r>
              <w:rPr>
                <w:b/>
              </w:rPr>
              <w:t xml:space="preserve">Weight</w:t>
            </w:r>
          </w:p>
        </w:tc>
      </w:tr>
      <w:tr>
        <w:tc>
          <w:tcPr>
            <w:tcW w:w="0" w:type="auto"/>
          </w:tcPr>
          <w:p>
            <w:r>
              <w:t xml:space="preserve">Labs</w:t>
            </w:r>
          </w:p>
        </w:tc>
        <w:tc>
          <w:tcPr>
            <w:tcW w:w="0" w:type="auto"/>
          </w:tcPr>
          <w:p>
            <w:r>
              <w:t xml:space="preserve">20%</w:t>
            </w:r>
          </w:p>
        </w:tc>
      </w:tr>
      <w:tr>
        <w:tc>
          <w:tcPr>
            <w:tcW w:w="0" w:type="auto"/>
          </w:tcPr>
          <w:p>
            <w:r>
              <w:t xml:space="preserve">Homework</w:t>
            </w:r>
          </w:p>
        </w:tc>
        <w:tc>
          <w:tcPr>
            <w:tcW w:w="0" w:type="auto"/>
          </w:tcPr>
          <w:p>
            <w:r>
              <w:t xml:space="preserve">20%</w:t>
            </w:r>
          </w:p>
        </w:tc>
      </w:tr>
      <w:tr>
        <w:tc>
          <w:tcPr>
            <w:tcW w:w="0" w:type="auto"/>
          </w:tcPr>
          <w:p>
            <w:r>
              <w:t xml:space="preserve">Project</w:t>
            </w:r>
          </w:p>
        </w:tc>
        <w:tc>
          <w:tcPr>
            <w:tcW w:w="0" w:type="auto"/>
          </w:tcPr>
          <w:p>
            <w:r>
              <w:t xml:space="preserve">20%</w:t>
            </w:r>
          </w:p>
        </w:tc>
      </w:tr>
      <w:tr>
        <w:tc>
          <w:tcPr>
            <w:tcW w:w="0" w:type="auto"/>
          </w:tcPr>
          <w:p>
            <w:r>
              <w:t xml:space="preserve">Presentations</w:t>
            </w:r>
          </w:p>
        </w:tc>
        <w:tc>
          <w:tcPr>
            <w:tcW w:w="0" w:type="auto"/>
          </w:tcPr>
          <w:p>
            <w:r>
              <w:t xml:space="preserve">10%</w:t>
            </w:r>
          </w:p>
        </w:tc>
      </w:tr>
      <w:tr>
        <w:tc>
          <w:tcPr>
            <w:tcW w:w="0" w:type="auto"/>
          </w:tcPr>
          <w:p>
            <w:r>
              <w:t xml:space="preserve">Midterm Exam</w:t>
            </w:r>
          </w:p>
        </w:tc>
        <w:tc>
          <w:tcPr>
            <w:tcW w:w="0" w:type="auto"/>
          </w:tcPr>
          <w:p>
            <w:r>
              <w:t xml:space="preserve">15%</w:t>
            </w:r>
          </w:p>
        </w:tc>
      </w:tr>
      <w:tr>
        <w:tc>
          <w:tcPr>
            <w:tcW w:w="0" w:type="auto"/>
          </w:tcPr>
          <w:p>
            <w:r>
              <w:t xml:space="preserve">Final Exam</w:t>
            </w:r>
          </w:p>
        </w:tc>
        <w:tc>
          <w:tcPr>
            <w:tcW w:w="0" w:type="auto"/>
          </w:tcPr>
          <w:p>
            <w:r>
              <w:t xml:space="preserve">15%</w:t>
            </w:r>
          </w:p>
        </w:tc>
      </w:tr>
    </w:tbl>
    <w:p>
      <w:r>
        <w:t xml:space="preserve">Midterm Exam: Oct 15, in class. Final Exam: Dec 11, time TBD (per Registrar exam schedule).</w:t>
      </w:r>
    </w:p>
    <w:p>
      <w:r>
        <w:t xml:space="preserve"/>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Grade</w:t>
            </w:r>
          </w:p>
        </w:tc>
        <w:tc>
          <w:tcPr>
            <w:tcW w:w="0" w:type="auto"/>
          </w:tcPr>
          <w:p>
            <w:r>
              <w:rPr>
                <w:b/>
              </w:rPr>
              <w:t xml:space="preserve">Range</w:t>
            </w:r>
          </w:p>
        </w:tc>
      </w:tr>
      <w:tr>
        <w:tc>
          <w:tcPr>
            <w:tcW w:w="0" w:type="auto"/>
          </w:tcPr>
          <w:p>
            <w:r>
              <w:t xml:space="preserve">A</w:t>
            </w:r>
          </w:p>
        </w:tc>
        <w:tc>
          <w:tcPr>
            <w:tcW w:w="0" w:type="auto"/>
          </w:tcPr>
          <w:p>
            <w:r>
              <w:t xml:space="preserve">&gt; 93</w:t>
            </w:r>
          </w:p>
        </w:tc>
      </w:tr>
      <w:tr>
        <w:tc>
          <w:tcPr>
            <w:tcW w:w="0" w:type="auto"/>
          </w:tcPr>
          <w:p>
            <w:r>
              <w:t xml:space="preserve">A-</w:t>
            </w:r>
          </w:p>
        </w:tc>
        <w:tc>
          <w:tcPr>
            <w:tcW w:w="0" w:type="auto"/>
          </w:tcPr>
          <w:p>
            <w:r>
              <w:t xml:space="preserve">90–93</w:t>
            </w:r>
          </w:p>
        </w:tc>
      </w:tr>
      <w:tr>
        <w:tc>
          <w:tcPr>
            <w:tcW w:w="0" w:type="auto"/>
          </w:tcPr>
          <w:p>
            <w:r>
              <w:t xml:space="preserve">B+</w:t>
            </w:r>
          </w:p>
        </w:tc>
        <w:tc>
          <w:tcPr>
            <w:tcW w:w="0" w:type="auto"/>
          </w:tcPr>
          <w:p>
            <w:r>
              <w:t xml:space="preserve">87–90</w:t>
            </w:r>
          </w:p>
        </w:tc>
      </w:tr>
      <w:tr>
        <w:tc>
          <w:tcPr>
            <w:tcW w:w="0" w:type="auto"/>
          </w:tcPr>
          <w:p>
            <w:r>
              <w:t xml:space="preserve">B</w:t>
            </w:r>
          </w:p>
        </w:tc>
        <w:tc>
          <w:tcPr>
            <w:tcW w:w="0" w:type="auto"/>
          </w:tcPr>
          <w:p>
            <w:r>
              <w:t xml:space="preserve">83–87</w:t>
            </w:r>
          </w:p>
        </w:tc>
      </w:tr>
      <w:tr>
        <w:tc>
          <w:tcPr>
            <w:tcW w:w="0" w:type="auto"/>
          </w:tcPr>
          <w:p>
            <w:r>
              <w:t xml:space="preserve">B-</w:t>
            </w:r>
          </w:p>
        </w:tc>
        <w:tc>
          <w:tcPr>
            <w:tcW w:w="0" w:type="auto"/>
          </w:tcPr>
          <w:p>
            <w:r>
              <w:t xml:space="preserve">80–83</w:t>
            </w:r>
          </w:p>
        </w:tc>
      </w:tr>
      <w:tr>
        <w:tc>
          <w:tcPr>
            <w:tcW w:w="0" w:type="auto"/>
          </w:tcPr>
          <w:p>
            <w:r>
              <w:t xml:space="preserve">C+</w:t>
            </w:r>
          </w:p>
        </w:tc>
        <w:tc>
          <w:tcPr>
            <w:tcW w:w="0" w:type="auto"/>
          </w:tcPr>
          <w:p>
            <w:r>
              <w:t xml:space="preserve">77–80</w:t>
            </w:r>
          </w:p>
        </w:tc>
      </w:tr>
      <w:tr>
        <w:tc>
          <w:tcPr>
            <w:tcW w:w="0" w:type="auto"/>
          </w:tcPr>
          <w:p>
            <w:r>
              <w:t xml:space="preserve">C</w:t>
            </w:r>
          </w:p>
        </w:tc>
        <w:tc>
          <w:tcPr>
            <w:tcW w:w="0" w:type="auto"/>
          </w:tcPr>
          <w:p>
            <w:r>
              <w:t xml:space="preserve">73–77</w:t>
            </w:r>
          </w:p>
        </w:tc>
      </w:tr>
      <w:tr>
        <w:tc>
          <w:tcPr>
            <w:tcW w:w="0" w:type="auto"/>
          </w:tcPr>
          <w:p>
            <w:r>
              <w:t xml:space="preserve">C-</w:t>
            </w:r>
          </w:p>
        </w:tc>
        <w:tc>
          <w:tcPr>
            <w:tcW w:w="0" w:type="auto"/>
          </w:tcPr>
          <w:p>
            <w:r>
              <w:t xml:space="preserve">70–73</w:t>
            </w:r>
          </w:p>
        </w:tc>
      </w:tr>
      <w:tr>
        <w:tc>
          <w:tcPr>
            <w:tcW w:w="0" w:type="auto"/>
          </w:tcPr>
          <w:p>
            <w:r>
              <w:t xml:space="preserve">D+</w:t>
            </w:r>
          </w:p>
        </w:tc>
        <w:tc>
          <w:tcPr>
            <w:tcW w:w="0" w:type="auto"/>
          </w:tcPr>
          <w:p>
            <w:r>
              <w:t xml:space="preserve">67–70</w:t>
            </w:r>
          </w:p>
        </w:tc>
      </w:tr>
      <w:tr>
        <w:tc>
          <w:tcPr>
            <w:tcW w:w="0" w:type="auto"/>
          </w:tcPr>
          <w:p>
            <w:r>
              <w:t xml:space="preserve">D</w:t>
            </w:r>
          </w:p>
        </w:tc>
        <w:tc>
          <w:tcPr>
            <w:tcW w:w="0" w:type="auto"/>
          </w:tcPr>
          <w:p>
            <w:r>
              <w:t xml:space="preserve">60–67</w:t>
            </w:r>
          </w:p>
        </w:tc>
      </w:tr>
      <w:tr>
        <w:tc>
          <w:tcPr>
            <w:tcW w:w="0" w:type="auto"/>
          </w:tcPr>
          <w:p>
            <w:r>
              <w:t xml:space="preserve">F</w:t>
            </w:r>
          </w:p>
        </w:tc>
        <w:tc>
          <w:tcPr>
            <w:tcW w:w="0" w:type="auto"/>
          </w:tcPr>
          <w:p>
            <w:r>
              <w:t xml:space="preserve">&lt; 60</w:t>
            </w:r>
          </w:p>
        </w:tc>
      </w:tr>
    </w:tbl>
    <w:p>
      <w:pPr>
        <w:pStyle w:val="Heading1"/>
      </w:pPr>
      <w:r>
        <w:t xml:space="preserve">Policies</w:t>
      </w:r>
    </w:p>
    <w:p>
      <w:pPr>
        <w:pStyle w:val="Heading2"/>
      </w:pPr>
      <w:r>
        <w:t xml:space="preserve">Late Work</w:t>
      </w:r>
    </w:p>
    <w:p>
      <w:pPr>
        <w:pStyle w:val="ListBullet"/>
      </w:pPr>
      <w:r>
        <w:t xml:space="preserve">•  Under 24 hours late: accepted without penalty.</w:t>
      </w:r>
    </w:p>
    <w:p>
      <w:pPr>
        <w:pStyle w:val="ListBullet"/>
      </w:pPr>
      <w:r>
        <w:t xml:space="preserve">•  1–7 days late: accepted with a 10% penalty.</w:t>
      </w:r>
    </w:p>
    <w:p>
      <w:pPr>
        <w:pStyle w:val="ListBullet"/>
      </w:pPr>
      <w:r>
        <w:t xml:space="preserve">•  Beyond 7 days late: not accepted.</w:t>
      </w:r>
    </w:p>
    <w:p>
      <w:pPr>
        <w:pStyle w:val="Heading2"/>
      </w:pPr>
      <w:r>
        <w:t xml:space="preserve">Attendance &amp; Materials</w:t>
      </w:r>
    </w:p>
    <w:p>
      <w:pPr>
        <w:pStyle w:val="ListBullet"/>
      </w:pPr>
      <w:r>
        <w:t xml:space="preserve">•  Class attendance is necessary. If you miss a class, you're responsible for keeping up via Canvas.</w:t>
      </w:r>
    </w:p>
    <w:p>
      <w:pPr>
        <w:pStyle w:val="ListBullet"/>
      </w:pPr>
      <w:r>
        <w:t xml:space="preserve">•  No textbook is required for this course.</w:t>
      </w:r>
    </w:p>
    <w:p>
      <w:pPr>
        <w:pStyle w:val="ListBullet"/>
      </w:pPr>
      <w:r>
        <w:t xml:space="preserve">•  Lab environment: local virtual machines (VMware/VirtualBox). No cloud provider account is required.</w:t>
      </w:r>
    </w:p>
    <w:p>
      <w:pPr>
        <w:pStyle w:val="Heading1"/>
      </w:pPr>
      <w:r>
        <w:t xml:space="preserve">AI Use in This Course</w:t>
      </w:r>
    </w:p>
    <w:p>
      <w:r>
        <w:t xml:space="preserve">AI usage in this course falls into four categories, following University of the Pacific's Center for Teaching and Learning (CTL) guidance. Each assignment will state which category applies:</w:t>
      </w:r>
    </w:p>
    <w:p>
      <w:pPr>
        <w:pStyle w:val="ListBullet"/>
      </w:pPr>
      <w:r>
        <w:t xml:space="preserve">•  No limitations — use AI tools in any way you find useful. AI use should still be noted and cited; using an AI tool is never required.</w:t>
      </w:r>
    </w:p>
    <w:p>
      <w:pPr>
        <w:pStyle w:val="ListBullet"/>
      </w:pPr>
      <w:r>
        <w:t xml:space="preserve">•  Specific limitations — AI tools may be used for some parts of an assignment; those parts are spelled out in the assignment instructions.</w:t>
      </w:r>
    </w:p>
    <w:p>
      <w:pPr>
        <w:pStyle w:val="ListBullet"/>
      </w:pPr>
      <w:r>
        <w:t xml:space="preserve">•  No AI usage in any form — AI tool or application use is prohibited for that assignment.</w:t>
      </w:r>
    </w:p>
    <w:p>
      <w:pPr>
        <w:pStyle w:val="ListBullet"/>
      </w:pPr>
      <w:r>
        <w:t xml:space="preserve">•  AI use is required — effective use of a specific AI tool is part of the assignment's objectives.</w:t>
      </w:r>
    </w:p>
    <w:p>
      <w:r>
        <w:t xml:space="preserve">Unless an assignment says otherwise, working in groups is permitted, but submitting the assignment confirms that you personally understand the material. If you use AI, clearly state which parts of your submission used AI assistance and which parts you completed without it. Undisclosed AI use, or use beyond what an assignment's category allows, is treated as a violation of academic integrity.</w:t>
      </w:r>
    </w:p>
    <w:p>
      <w:r>
        <w:t xml:space="preserve">Optional resource: the 2026 Student Guide to Artificial Intelligence (www.studentguidetoai.org), published by Elon University and the AAC&amp;U, is a short field guide to working with AI tools thoughtfully — curiosity, critical evaluation of AI output, deep thinking, creativity, ethics, and related skills.</w:t>
      </w:r>
    </w:p>
    <w:p>
      <w:pPr>
        <w:pStyle w:val="Heading1"/>
      </w:pPr>
      <w:r>
        <w:t xml:space="preserve">Academic Integrity &amp; Conduct</w:t>
      </w:r>
    </w:p>
    <w:p>
      <w:pPr>
        <w:pStyle w:val="ListBullet"/>
      </w:pPr>
      <w:r>
        <w:t xml:space="preserve">•  Recordings: live class sessions may be recorded; participating in class discussion is consent to being recorded. Access is limited to enrolled students and faculty.</w:t>
      </w:r>
    </w:p>
    <w:p>
      <w:pPr>
        <w:pStyle w:val="ListBullet"/>
      </w:pPr>
      <w:r>
        <w:t xml:space="preserve">•  Honor Code: act with integrity, encourage academic honesty, and report suspected violations. Violations are handled by the Office of Student Conduct and Community Standards.</w:t>
      </w:r>
    </w:p>
    <w:p>
      <w:pPr>
        <w:pStyle w:val="ListBullet"/>
      </w:pPr>
      <w:r>
        <w:t xml:space="preserve">•  Names &amp; pronouns: let the instructor know your preferred name/pronoun at any point in the semester.</w:t>
      </w:r>
    </w:p>
    <w:p>
      <w:pPr>
        <w:pStyle w:val="Heading1"/>
      </w:pPr>
      <w:r>
        <w:t xml:space="preserve">Accommodations &amp; Nondiscrimination</w:t>
      </w:r>
    </w:p>
    <w:p>
      <w:pPr>
        <w:pStyle w:val="ListBullet"/>
      </w:pPr>
      <w:r>
        <w:t xml:space="preserve">•  Disability accommodations: contact the Office of Services for Students with Disabilities (SSD, McCaffrey Center Rm 116, ssd@pacific.edu) to register, request accommodations each semester, and share the Accommodation Request Letter with the instructor.</w:t>
      </w:r>
    </w:p>
    <w:p>
      <w:pPr>
        <w:pStyle w:val="ListBullet"/>
      </w:pPr>
      <w:r>
        <w:t xml:space="preserve">•  Nondiscrimination: the University does not discriminate in any educational program or activity on the basis of race, color, national/ethnic origin, disability, sexual orientation, sex, or age.</w:t>
      </w:r>
    </w:p>
    <w:p>
      <w:pPr>
        <w:pStyle w:val="Heading1"/>
      </w:pPr>
      <w:r>
        <w:t xml:space="preserve">Program &amp; University Outcomes</w:t>
      </w:r>
    </w:p>
    <w:p>
      <w:r>
        <w:t xml:space="preserve">This course contributes to BS Computer Science program outcomes (problem analysis and solution design, professional communication, ethical/legal judgment, teamwork, applying CS theory) and to the University's core competencies:</w:t>
      </w:r>
    </w:p>
    <w:p>
      <w:pPr>
        <w:pStyle w:val="ListBullet"/>
      </w:pPr>
      <w:r>
        <w:t xml:space="preserve">•  Critical Thinking</w:t>
      </w:r>
    </w:p>
    <w:p>
      <w:pPr>
        <w:pStyle w:val="ListBullet"/>
      </w:pPr>
      <w:r>
        <w:t xml:space="preserve">•  Information Literacy</w:t>
      </w:r>
    </w:p>
    <w:p>
      <w:pPr>
        <w:pStyle w:val="ListBullet"/>
      </w:pPr>
      <w:r>
        <w:t xml:space="preserve">•  Oral Communication</w:t>
      </w:r>
    </w:p>
    <w:p>
      <w:pPr>
        <w:pStyle w:val="Heading1"/>
      </w:pPr>
      <w:r>
        <w:t xml:space="preserve">Project</w:t>
      </w:r>
    </w:p>
    <w:p>
      <w:r>
        <w:t xml:space="preserve">One semester-long project (20% project + 10% presentations), run as milestones: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Milestone</w:t>
            </w:r>
          </w:p>
        </w:tc>
        <w:tc>
          <w:tcPr>
            <w:tcW w:w="0" w:type="auto"/>
          </w:tcPr>
          <w:p>
            <w:r>
              <w:rPr>
                <w:b/>
              </w:rPr>
              <w:t xml:space="preserve">Due</w:t>
            </w:r>
          </w:p>
        </w:tc>
      </w:tr>
      <w:tr>
        <w:tc>
          <w:tcPr>
            <w:tcW w:w="0" w:type="auto"/>
          </w:tcPr>
          <w:p>
            <w:r>
              <w:t xml:space="preserve">Proposal</w:t>
            </w:r>
          </w:p>
        </w:tc>
        <w:tc>
          <w:tcPr>
            <w:tcW w:w="0" w:type="auto"/>
          </w:tcPr>
          <w:p>
            <w:r>
              <w:t xml:space="preserve">Week 7 – Oct 6</w:t>
            </w:r>
          </w:p>
        </w:tc>
      </w:tr>
      <w:tr>
        <w:tc>
          <w:tcPr>
            <w:tcW w:w="0" w:type="auto"/>
          </w:tcPr>
          <w:p>
            <w:r>
              <w:t xml:space="preserve">Installation Report</w:t>
            </w:r>
          </w:p>
        </w:tc>
        <w:tc>
          <w:tcPr>
            <w:tcW w:w="0" w:type="auto"/>
          </w:tcPr>
          <w:p>
            <w:r>
              <w:t xml:space="preserve">Week 9 – Oct 20</w:t>
            </w:r>
          </w:p>
        </w:tc>
      </w:tr>
      <w:tr>
        <w:tc>
          <w:tcPr>
            <w:tcW w:w="0" w:type="auto"/>
          </w:tcPr>
          <w:p>
            <w:r>
              <w:t xml:space="preserve">Presentation Video</w:t>
            </w:r>
          </w:p>
        </w:tc>
        <w:tc>
          <w:tcPr>
            <w:tcW w:w="0" w:type="auto"/>
          </w:tcPr>
          <w:p>
            <w:r>
              <w:t xml:space="preserve">Week 10 – Oct 27</w:t>
            </w:r>
          </w:p>
        </w:tc>
      </w:tr>
      <w:tr>
        <w:tc>
          <w:tcPr>
            <w:tcW w:w="0" w:type="auto"/>
          </w:tcPr>
          <w:p>
            <w:r>
              <w:t xml:space="preserve">Peer Review</w:t>
            </w:r>
          </w:p>
        </w:tc>
        <w:tc>
          <w:tcPr>
            <w:tcW w:w="0" w:type="auto"/>
          </w:tcPr>
          <w:p>
            <w:r>
              <w:t xml:space="preserve">Week 12 – Nov 10</w:t>
            </w:r>
          </w:p>
        </w:tc>
      </w:tr>
      <w:tr>
        <w:tc>
          <w:tcPr>
            <w:tcW w:w="0" w:type="auto"/>
          </w:tcPr>
          <w:p>
            <w:r>
              <w:t xml:space="preserve">Final Presentations</w:t>
            </w:r>
          </w:p>
        </w:tc>
        <w:tc>
          <w:tcPr>
            <w:tcW w:w="0" w:type="auto"/>
          </w:tcPr>
          <w:p>
            <w:r>
              <w:t xml:space="preserve">Week 16 – Dec 8/10</w:t>
            </w:r>
          </w:p>
        </w:tc>
      </w:tr>
    </w:tbl>
    <w:p>
      <w:r>
        <w:t xml:space="preserve"/>
      </w:r>
    </w:p>
    <w:p>
      <w:r>
        <w:t xml:space="preserve">This syllabus is subject to change; the version on Canvas is authoritative.</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Title" w:default="0">
    <w:name w:val="Title"/>
    <w:pPr>
      <w:spacing w:after="240"/>
    </w:pPr>
    <w:rPr>
      <w:b/>
      <w:sz w:val="40"/>
      <w:color w:val="FF671D"/>
    </w:rPr>
  </w:style>
  <w:style w:type="paragraph" w:styleId="Heading1">
    <w:name w:val="heading 1"/>
    <w:pPr>
      <w:spacing w:before="360" w:after="120"/>
      <w:keepNext/>
    </w:pPr>
    <w:rPr>
      <w:b/>
      <w:sz w:val="30"/>
      <w:color w:val="FF671D"/>
    </w:rPr>
  </w:style>
  <w:style w:type="paragraph" w:styleId="Heading2">
    <w:name w:val="heading 2"/>
    <w:pPr>
      <w:spacing w:before="240" w:after="80"/>
      <w:keepNext/>
    </w:pPr>
    <w:rPr>
      <w:b/>
      <w:sz w:val="24"/>
      <w:color w:val="222222"/>
    </w:rPr>
  </w:style>
  <w:style w:type="paragraph" w:styleId="Normal" w:default="1">
    <w:name w:val="Normal"/>
    <w:pPr>
      <w:spacing w:after="120" w:line="276" w:lineRule="auto"/>
    </w:pPr>
  </w:style>
  <w:style w:type="paragraph" w:styleId="ListBullet">
    <w:name w:val="List Bullet"/>
    <w:pPr>
      <w:ind w:left="360" w:hanging="27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COMP 175 Syllabus - Fall 2026</dc:title>
  <dc:creator>University of the Pacific</dc:creator>
  <cp:lastModifiedBy>University of the Pacific</cp:lastModifiedBy>
</cp:coreProperties>
</file>