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目录"/>
      <w:r>
        <w:t>目录</w:t>
      </w:r>
      <w:bookmarkEnd w:id="0"/>
    </w:p>
    <w:p>
      <w:pPr>
        <w:numPr>
          <w:ilvl w:val="0"/>
          <w:numId w:val="1"/>
        </w:numPr>
      </w:pPr>
      <w:r>
        <w:fldChar w:fldCharType="begin"/>
      </w:r>
      <w:r>
        <w:instrText xml:space="preserve"> HYPERLINK \l "前言" \h </w:instrText>
      </w:r>
      <w:r>
        <w:fldChar w:fldCharType="separate"/>
      </w:r>
      <w:r>
        <w:rPr>
          <w:rStyle w:val="21"/>
        </w:rPr>
        <w:t>前言</w:t>
      </w:r>
      <w:r>
        <w:rPr>
          <w:rStyle w:val="21"/>
        </w:rPr>
        <w:fldChar w:fldCharType="end"/>
      </w:r>
    </w:p>
    <w:p>
      <w:pPr>
        <w:numPr>
          <w:ilvl w:val="0"/>
          <w:numId w:val="1"/>
        </w:numPr>
      </w:pPr>
      <w:r>
        <w:fldChar w:fldCharType="begin"/>
      </w:r>
      <w:r>
        <w:instrText xml:space="preserve"> HYPERLINK \l "swtc区块链" \h </w:instrText>
      </w:r>
      <w:r>
        <w:fldChar w:fldCharType="separate"/>
      </w:r>
      <w:r>
        <w:rPr>
          <w:rStyle w:val="21"/>
        </w:rPr>
        <w:t>SWTC区块链</w:t>
      </w:r>
      <w:r>
        <w:rPr>
          <w:rStyle w:val="21"/>
        </w:rPr>
        <w:fldChar w:fldCharType="end"/>
      </w:r>
    </w:p>
    <w:p>
      <w:pPr>
        <w:numPr>
          <w:ilvl w:val="0"/>
          <w:numId w:val="1"/>
        </w:numPr>
      </w:pPr>
      <w:r>
        <w:fldChar w:fldCharType="begin"/>
      </w:r>
      <w:r>
        <w:instrText xml:space="preserve"> HYPERLINK \l "系统架构" \h </w:instrText>
      </w:r>
      <w:r>
        <w:fldChar w:fldCharType="separate"/>
      </w:r>
      <w:r>
        <w:rPr>
          <w:rStyle w:val="21"/>
        </w:rPr>
        <w:t>系统架构</w:t>
      </w:r>
      <w:r>
        <w:rPr>
          <w:rStyle w:val="21"/>
        </w:rPr>
        <w:fldChar w:fldCharType="end"/>
      </w:r>
    </w:p>
    <w:p>
      <w:pPr>
        <w:numPr>
          <w:ilvl w:val="0"/>
          <w:numId w:val="1"/>
        </w:numPr>
      </w:pPr>
      <w:r>
        <w:fldChar w:fldCharType="begin"/>
      </w:r>
      <w:r>
        <w:instrText xml:space="preserve"> HYPERLINK \l "软件系统架构" \h </w:instrText>
      </w:r>
      <w:r>
        <w:fldChar w:fldCharType="separate"/>
      </w:r>
      <w:r>
        <w:rPr>
          <w:rStyle w:val="21"/>
        </w:rPr>
        <w:t>软件系统架构</w:t>
      </w:r>
      <w:r>
        <w:rPr>
          <w:rStyle w:val="21"/>
        </w:rPr>
        <w:fldChar w:fldCharType="end"/>
      </w:r>
    </w:p>
    <w:p>
      <w:pPr>
        <w:pStyle w:val="2"/>
      </w:pPr>
      <w:bookmarkStart w:id="1" w:name="前言"/>
      <w:r>
        <w:t>前言</w:t>
      </w:r>
      <w:bookmarkEnd w:id="1"/>
    </w:p>
    <w:p>
      <w:pPr>
        <w:pStyle w:val="23"/>
      </w:pPr>
      <w:r>
        <w:t>当前区块链和产业的拥抱越来越快，各种应用层出不穷，不再是社区中的极客玩具，而是各行各业探索和实践区块链技术如何在产业中应用。</w:t>
      </w:r>
    </w:p>
    <w:p>
      <w:pPr>
        <w:pStyle w:val="3"/>
      </w:pPr>
      <w:r>
        <w:t>本手册针对金融行业的特点，阐述</w:t>
      </w:r>
      <w:r>
        <w:t>SWTC</w:t>
      </w:r>
      <w:bookmarkStart w:id="12" w:name="_GoBack"/>
      <w:bookmarkEnd w:id="12"/>
      <w:r>
        <w:t>区块链如何部署，和金融行业现有系统如何对接，基于区块链技术的银行业务在现在和未来如何部署和实施。</w:t>
      </w:r>
    </w:p>
    <w:p>
      <w:pPr>
        <w:pStyle w:val="3"/>
      </w:pPr>
      <w:r>
        <w:t>本文撰写参考了大量</w:t>
      </w:r>
      <w:r>
        <w:fldChar w:fldCharType="begin"/>
      </w:r>
      <w:r>
        <w:instrText xml:space="preserve"> HYPERLINK "http://www.swtc.top/" \h </w:instrText>
      </w:r>
      <w:r>
        <w:fldChar w:fldCharType="separate"/>
      </w:r>
      <w:r>
        <w:rPr>
          <w:rStyle w:val="21"/>
        </w:rPr>
        <w:t>SWTC基金会</w:t>
      </w:r>
      <w:r>
        <w:rPr>
          <w:rStyle w:val="21"/>
        </w:rPr>
        <w:fldChar w:fldCharType="end"/>
      </w:r>
      <w:r>
        <w:t>提供的资料，在此表示感谢。</w:t>
      </w:r>
    </w:p>
    <w:p>
      <w:pPr>
        <w:pStyle w:val="3"/>
      </w:pPr>
      <w:r>
        <w:t>本文作者：SWTC社区</w:t>
      </w:r>
      <w:r>
        <w:fldChar w:fldCharType="begin"/>
      </w:r>
      <w:r>
        <w:instrText xml:space="preserve"> HYPERLINK "https://jccdex.cn" \h </w:instrText>
      </w:r>
      <w:r>
        <w:fldChar w:fldCharType="separate"/>
      </w:r>
      <w:r>
        <w:rPr>
          <w:rStyle w:val="21"/>
        </w:rPr>
        <w:t>井畅节点</w:t>
      </w:r>
      <w:r>
        <w:rPr>
          <w:rStyle w:val="21"/>
        </w:rPr>
        <w:fldChar w:fldCharType="end"/>
      </w:r>
    </w:p>
    <w:p>
      <w:pPr>
        <w:pStyle w:val="2"/>
      </w:pPr>
      <w:bookmarkStart w:id="2" w:name="swtc区块链"/>
      <w:r>
        <w:t>SWTC区块链</w:t>
      </w:r>
      <w:bookmarkEnd w:id="2"/>
    </w:p>
    <w:p>
      <w:pPr>
        <w:pStyle w:val="23"/>
      </w:pPr>
      <w:r>
        <w:t>在2011年，比特币出现方兴未时，SWTC的创业团队就将比特币的底层技术“区块链”作为未来改变人类社会组织方式的新兴技术进行研究，并在2014年完成了SWTC公链上线运行。</w:t>
      </w:r>
    </w:p>
    <w:p>
      <w:pPr>
        <w:pStyle w:val="3"/>
      </w:pPr>
      <w:r>
        <w:t>作为已经成功运行5年，运行高度到达1279万块（截止2019年5月）、性能达到5000TPS的可落地的商用公有链，SWTC设计的目标和愿景是提供安全、真实、可信的商用区块链环境。同时，SWTC公链的定位同时也是一个容纳各种数字化资产的去中心化的交易平台。</w:t>
      </w:r>
    </w:p>
    <w:p>
      <w:pPr>
        <w:pStyle w:val="34"/>
      </w:pPr>
      <w:r>
        <w:drawing>
          <wp:inline distT="0" distB="0" distL="114300" distR="114300">
            <wp:extent cx="5334000" cy="1779270"/>
            <wp:effectExtent l="0" t="0" r="0" b="0"/>
            <wp:docPr id="1"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cal image"/>
                    <pic:cNvPicPr>
                      <a:picLocks noChangeAspect="1" noChangeArrowheads="1"/>
                    </pic:cNvPicPr>
                  </pic:nvPicPr>
                  <pic:blipFill>
                    <a:blip r:embed="rId4"/>
                    <a:stretch>
                      <a:fillRect/>
                    </a:stretch>
                  </pic:blipFill>
                  <pic:spPr>
                    <a:xfrm>
                      <a:off x="0" y="0"/>
                      <a:ext cx="5334000" cy="1779528"/>
                    </a:xfrm>
                    <a:prstGeom prst="rect">
                      <a:avLst/>
                    </a:prstGeom>
                    <a:noFill/>
                    <a:ln w="9525">
                      <a:noFill/>
                    </a:ln>
                  </pic:spPr>
                </pic:pic>
              </a:graphicData>
            </a:graphic>
          </wp:inline>
        </w:drawing>
      </w:r>
    </w:p>
    <w:p>
      <w:pPr>
        <w:pStyle w:val="32"/>
      </w:pPr>
      <w:r>
        <w:t>local image</w:t>
      </w:r>
    </w:p>
    <w:p>
      <w:pPr>
        <w:pStyle w:val="3"/>
      </w:pPr>
      <w:r>
        <w:t>区块链第一次使得多方共同信任相同的数据源成为可能，并允许多方互相传递数字资产而不需要担心“双重消费”问题，大大降低了多方互信的成本，并进一步促进了多方之间的低成本的价值共享。</w:t>
      </w:r>
    </w:p>
    <w:p>
      <w:pPr>
        <w:pStyle w:val="3"/>
      </w:pPr>
      <w:r>
        <w:t>SWTC区块链是信任机器。</w:t>
      </w:r>
    </w:p>
    <w:p>
      <w:pPr>
        <w:pStyle w:val="3"/>
      </w:pPr>
      <w:r>
        <w:t>主流区块链技术功能对比</w:t>
      </w:r>
    </w:p>
    <w:tbl>
      <w:tblPr>
        <w:tblStyle w:val="28"/>
        <w:tblW w:w="2160" w:type="dxa"/>
        <w:tblInd w:w="0" w:type="dxa"/>
        <w:tblLayout w:type="fixed"/>
        <w:tblCellMar>
          <w:top w:w="0" w:type="dxa"/>
          <w:left w:w="108" w:type="dxa"/>
          <w:bottom w:w="0" w:type="dxa"/>
          <w:right w:w="108" w:type="dxa"/>
        </w:tblCellMar>
      </w:tblPr>
      <w:tblGrid>
        <w:gridCol w:w="360"/>
        <w:gridCol w:w="360"/>
        <w:gridCol w:w="360"/>
        <w:gridCol w:w="360"/>
        <w:gridCol w:w="360"/>
        <w:gridCol w:w="360"/>
      </w:tblGrid>
      <w:tr>
        <w:tblPrEx>
          <w:tblLayout w:type="fixed"/>
        </w:tblPrEx>
        <w:tc>
          <w:tcPr>
            <w:tcW w:w="0" w:type="dxa"/>
            <w:tcBorders>
              <w:bottom w:val="single" w:color="auto" w:sz="0" w:space="0"/>
            </w:tcBorders>
            <w:vAlign w:val="bottom"/>
          </w:tcPr>
          <w:p>
            <w:pPr>
              <w:pStyle w:val="24"/>
              <w:jc w:val="center"/>
            </w:pPr>
            <w:r>
              <w:t>项目</w:t>
            </w:r>
          </w:p>
        </w:tc>
        <w:tc>
          <w:tcPr>
            <w:tcW w:w="0" w:type="dxa"/>
            <w:tcBorders>
              <w:bottom w:val="single" w:color="auto" w:sz="0" w:space="0"/>
            </w:tcBorders>
            <w:vAlign w:val="bottom"/>
          </w:tcPr>
          <w:p>
            <w:pPr>
              <w:pStyle w:val="24"/>
              <w:jc w:val="center"/>
            </w:pPr>
            <w:r>
              <w:t>比特币</w:t>
            </w:r>
          </w:p>
        </w:tc>
        <w:tc>
          <w:tcPr>
            <w:tcW w:w="0" w:type="dxa"/>
            <w:tcBorders>
              <w:bottom w:val="single" w:color="auto" w:sz="0" w:space="0"/>
            </w:tcBorders>
            <w:vAlign w:val="bottom"/>
          </w:tcPr>
          <w:p>
            <w:pPr>
              <w:pStyle w:val="24"/>
              <w:jc w:val="center"/>
            </w:pPr>
            <w:r>
              <w:t>以太坊</w:t>
            </w:r>
          </w:p>
        </w:tc>
        <w:tc>
          <w:tcPr>
            <w:tcW w:w="0" w:type="dxa"/>
            <w:tcBorders>
              <w:bottom w:val="single" w:color="auto" w:sz="0" w:space="0"/>
            </w:tcBorders>
            <w:vAlign w:val="bottom"/>
          </w:tcPr>
          <w:p>
            <w:pPr>
              <w:pStyle w:val="24"/>
              <w:jc w:val="center"/>
            </w:pPr>
            <w:r>
              <w:t>超级账本</w:t>
            </w:r>
          </w:p>
        </w:tc>
        <w:tc>
          <w:tcPr>
            <w:tcW w:w="0" w:type="dxa"/>
            <w:tcBorders>
              <w:bottom w:val="single" w:color="auto" w:sz="0" w:space="0"/>
            </w:tcBorders>
            <w:vAlign w:val="bottom"/>
          </w:tcPr>
          <w:p>
            <w:pPr>
              <w:pStyle w:val="24"/>
              <w:jc w:val="center"/>
            </w:pPr>
            <w:r>
              <w:t>瑞波/恒星</w:t>
            </w:r>
          </w:p>
        </w:tc>
        <w:tc>
          <w:tcPr>
            <w:tcW w:w="0" w:type="dxa"/>
            <w:tcBorders>
              <w:bottom w:val="single" w:color="auto" w:sz="0" w:space="0"/>
            </w:tcBorders>
            <w:vAlign w:val="bottom"/>
          </w:tcPr>
          <w:p>
            <w:pPr>
              <w:pStyle w:val="24"/>
              <w:jc w:val="center"/>
            </w:pPr>
            <w:r>
              <w:t>SWTC</w:t>
            </w:r>
          </w:p>
        </w:tc>
      </w:tr>
      <w:tr>
        <w:tblPrEx>
          <w:tblLayout w:type="fixed"/>
        </w:tblPrEx>
        <w:tc>
          <w:tcPr>
            <w:tcW w:w="0" w:type="dxa"/>
          </w:tcPr>
          <w:p>
            <w:pPr>
              <w:pStyle w:val="24"/>
              <w:jc w:val="center"/>
            </w:pPr>
            <w:r>
              <w:t>共识机制</w:t>
            </w:r>
          </w:p>
        </w:tc>
        <w:tc>
          <w:tcPr>
            <w:tcW w:w="0" w:type="dxa"/>
          </w:tcPr>
          <w:p>
            <w:pPr>
              <w:pStyle w:val="24"/>
              <w:jc w:val="center"/>
            </w:pPr>
            <w:r>
              <w:t>PoW</w:t>
            </w:r>
          </w:p>
        </w:tc>
        <w:tc>
          <w:tcPr>
            <w:tcW w:w="0" w:type="dxa"/>
          </w:tcPr>
          <w:p>
            <w:pPr>
              <w:pStyle w:val="24"/>
              <w:jc w:val="center"/>
            </w:pPr>
            <w:r>
              <w:t>PoW</w:t>
            </w:r>
          </w:p>
        </w:tc>
        <w:tc>
          <w:tcPr>
            <w:tcW w:w="0" w:type="dxa"/>
          </w:tcPr>
          <w:p>
            <w:pPr>
              <w:pStyle w:val="24"/>
              <w:jc w:val="center"/>
            </w:pPr>
            <w:r>
              <w:t>插件式</w:t>
            </w:r>
          </w:p>
        </w:tc>
        <w:tc>
          <w:tcPr>
            <w:tcW w:w="0" w:type="dxa"/>
          </w:tcPr>
          <w:p>
            <w:pPr>
              <w:pStyle w:val="24"/>
              <w:jc w:val="center"/>
            </w:pPr>
            <w:r>
              <w:t>Consensus</w:t>
            </w:r>
          </w:p>
        </w:tc>
        <w:tc>
          <w:tcPr>
            <w:tcW w:w="0" w:type="dxa"/>
          </w:tcPr>
          <w:p>
            <w:pPr>
              <w:pStyle w:val="24"/>
              <w:jc w:val="center"/>
            </w:pPr>
            <w:r>
              <w:t>RPBFT</w:t>
            </w:r>
          </w:p>
        </w:tc>
      </w:tr>
      <w:tr>
        <w:tblPrEx>
          <w:tblLayout w:type="fixed"/>
        </w:tblPrEx>
        <w:tc>
          <w:tcPr>
            <w:tcW w:w="0" w:type="dxa"/>
          </w:tcPr>
          <w:p>
            <w:pPr>
              <w:pStyle w:val="24"/>
              <w:jc w:val="center"/>
            </w:pPr>
            <w:r>
              <w:t>多资产支持</w:t>
            </w:r>
          </w:p>
        </w:tc>
        <w:tc>
          <w:tcPr>
            <w:tcW w:w="0" w:type="dxa"/>
          </w:tcPr>
          <w:p>
            <w:pPr>
              <w:pStyle w:val="24"/>
              <w:jc w:val="center"/>
            </w:pPr>
            <w:r>
              <w:t>N</w:t>
            </w:r>
          </w:p>
        </w:tc>
        <w:tc>
          <w:tcPr>
            <w:tcW w:w="0" w:type="dxa"/>
          </w:tcPr>
          <w:p>
            <w:pPr>
              <w:pStyle w:val="24"/>
              <w:jc w:val="center"/>
            </w:pPr>
            <w:r>
              <w:t>合约</w:t>
            </w:r>
          </w:p>
        </w:tc>
        <w:tc>
          <w:tcPr>
            <w:tcW w:w="0" w:type="dxa"/>
          </w:tcPr>
          <w:p>
            <w:pPr>
              <w:pStyle w:val="24"/>
              <w:jc w:val="center"/>
            </w:pPr>
            <w:r>
              <w:t>合约</w:t>
            </w:r>
          </w:p>
        </w:tc>
        <w:tc>
          <w:tcPr>
            <w:tcW w:w="0" w:type="dxa"/>
          </w:tcPr>
          <w:p>
            <w:pPr>
              <w:pStyle w:val="24"/>
              <w:jc w:val="center"/>
            </w:pPr>
            <w:r>
              <w:t>原生</w:t>
            </w:r>
          </w:p>
        </w:tc>
        <w:tc>
          <w:tcPr>
            <w:tcW w:w="0" w:type="dxa"/>
          </w:tcPr>
          <w:p>
            <w:pPr>
              <w:pStyle w:val="24"/>
              <w:jc w:val="center"/>
            </w:pPr>
            <w:r>
              <w:t>原生</w:t>
            </w:r>
          </w:p>
        </w:tc>
      </w:tr>
      <w:tr>
        <w:tblPrEx>
          <w:tblLayout w:type="fixed"/>
        </w:tblPrEx>
        <w:tc>
          <w:tcPr>
            <w:tcW w:w="0" w:type="dxa"/>
          </w:tcPr>
          <w:p>
            <w:pPr>
              <w:pStyle w:val="24"/>
              <w:jc w:val="center"/>
            </w:pPr>
            <w:r>
              <w:t>资产交换</w:t>
            </w:r>
          </w:p>
        </w:tc>
        <w:tc>
          <w:tcPr>
            <w:tcW w:w="0" w:type="dxa"/>
          </w:tcPr>
          <w:p>
            <w:pPr>
              <w:pStyle w:val="24"/>
              <w:jc w:val="center"/>
            </w:pPr>
            <w:r>
              <w:t>N</w:t>
            </w:r>
          </w:p>
        </w:tc>
        <w:tc>
          <w:tcPr>
            <w:tcW w:w="0" w:type="dxa"/>
          </w:tcPr>
          <w:p>
            <w:pPr>
              <w:pStyle w:val="24"/>
              <w:jc w:val="center"/>
            </w:pPr>
            <w:r>
              <w:t>合约</w:t>
            </w:r>
          </w:p>
        </w:tc>
        <w:tc>
          <w:tcPr>
            <w:tcW w:w="0" w:type="dxa"/>
          </w:tcPr>
          <w:p>
            <w:pPr>
              <w:pStyle w:val="24"/>
              <w:jc w:val="center"/>
            </w:pPr>
            <w:r>
              <w:t>合约</w:t>
            </w:r>
          </w:p>
        </w:tc>
        <w:tc>
          <w:tcPr>
            <w:tcW w:w="0" w:type="dxa"/>
          </w:tcPr>
          <w:p>
            <w:pPr>
              <w:pStyle w:val="24"/>
              <w:jc w:val="center"/>
            </w:pPr>
            <w:r>
              <w:t>原生</w:t>
            </w:r>
          </w:p>
        </w:tc>
        <w:tc>
          <w:tcPr>
            <w:tcW w:w="0" w:type="dxa"/>
          </w:tcPr>
          <w:p>
            <w:pPr>
              <w:pStyle w:val="24"/>
              <w:jc w:val="center"/>
            </w:pPr>
            <w:r>
              <w:t>原生</w:t>
            </w:r>
          </w:p>
        </w:tc>
      </w:tr>
      <w:tr>
        <w:tblPrEx>
          <w:tblLayout w:type="fixed"/>
        </w:tblPrEx>
        <w:tc>
          <w:tcPr>
            <w:tcW w:w="0" w:type="dxa"/>
          </w:tcPr>
          <w:p>
            <w:pPr>
              <w:pStyle w:val="24"/>
              <w:jc w:val="center"/>
            </w:pPr>
            <w:r>
              <w:t>智能合约</w:t>
            </w:r>
          </w:p>
        </w:tc>
        <w:tc>
          <w:tcPr>
            <w:tcW w:w="0" w:type="dxa"/>
          </w:tcPr>
          <w:p>
            <w:pPr>
              <w:pStyle w:val="24"/>
              <w:jc w:val="center"/>
            </w:pPr>
            <w:r>
              <w:t>N</w:t>
            </w:r>
          </w:p>
        </w:tc>
        <w:tc>
          <w:tcPr>
            <w:tcW w:w="0" w:type="dxa"/>
          </w:tcPr>
          <w:p>
            <w:pPr>
              <w:pStyle w:val="24"/>
              <w:jc w:val="center"/>
            </w:pPr>
            <w:r>
              <w:t>Y</w:t>
            </w:r>
          </w:p>
        </w:tc>
        <w:tc>
          <w:tcPr>
            <w:tcW w:w="0" w:type="dxa"/>
          </w:tcPr>
          <w:p>
            <w:pPr>
              <w:pStyle w:val="24"/>
              <w:jc w:val="center"/>
            </w:pPr>
            <w:r>
              <w:t>Y</w:t>
            </w:r>
          </w:p>
        </w:tc>
        <w:tc>
          <w:tcPr>
            <w:tcW w:w="0" w:type="dxa"/>
          </w:tcPr>
          <w:p>
            <w:pPr>
              <w:pStyle w:val="24"/>
              <w:jc w:val="center"/>
            </w:pPr>
            <w:r>
              <w:t>N</w:t>
            </w:r>
          </w:p>
        </w:tc>
        <w:tc>
          <w:tcPr>
            <w:tcW w:w="0" w:type="dxa"/>
          </w:tcPr>
          <w:p>
            <w:pPr>
              <w:pStyle w:val="24"/>
              <w:jc w:val="center"/>
            </w:pPr>
            <w:r>
              <w:t>Y</w:t>
            </w:r>
          </w:p>
        </w:tc>
      </w:tr>
      <w:tr>
        <w:tblPrEx>
          <w:tblLayout w:type="fixed"/>
        </w:tblPrEx>
        <w:tc>
          <w:tcPr>
            <w:tcW w:w="0" w:type="dxa"/>
          </w:tcPr>
          <w:p>
            <w:pPr>
              <w:pStyle w:val="24"/>
              <w:jc w:val="center"/>
            </w:pPr>
            <w:r>
              <w:t>系统性能</w:t>
            </w:r>
          </w:p>
        </w:tc>
        <w:tc>
          <w:tcPr>
            <w:tcW w:w="0" w:type="dxa"/>
          </w:tcPr>
          <w:p>
            <w:pPr>
              <w:pStyle w:val="24"/>
              <w:jc w:val="center"/>
            </w:pPr>
            <w:r>
              <w:t>弱</w:t>
            </w:r>
          </w:p>
        </w:tc>
        <w:tc>
          <w:tcPr>
            <w:tcW w:w="0" w:type="dxa"/>
          </w:tcPr>
          <w:p>
            <w:pPr>
              <w:pStyle w:val="24"/>
              <w:jc w:val="center"/>
            </w:pPr>
            <w:r>
              <w:t>弱</w:t>
            </w:r>
          </w:p>
        </w:tc>
        <w:tc>
          <w:tcPr>
            <w:tcW w:w="0" w:type="dxa"/>
          </w:tcPr>
          <w:p>
            <w:pPr>
              <w:pStyle w:val="24"/>
              <w:jc w:val="center"/>
            </w:pPr>
            <w:r>
              <w:t>好</w:t>
            </w:r>
          </w:p>
        </w:tc>
        <w:tc>
          <w:tcPr>
            <w:tcW w:w="0" w:type="dxa"/>
          </w:tcPr>
          <w:p>
            <w:pPr>
              <w:pStyle w:val="24"/>
              <w:jc w:val="center"/>
            </w:pPr>
            <w:r>
              <w:t>一般</w:t>
            </w:r>
          </w:p>
        </w:tc>
        <w:tc>
          <w:tcPr>
            <w:tcW w:w="0" w:type="dxa"/>
          </w:tcPr>
          <w:p>
            <w:pPr>
              <w:pStyle w:val="24"/>
              <w:jc w:val="center"/>
            </w:pPr>
            <w:r>
              <w:t>好</w:t>
            </w:r>
          </w:p>
        </w:tc>
      </w:tr>
      <w:tr>
        <w:tblPrEx>
          <w:tblLayout w:type="fixed"/>
        </w:tblPrEx>
        <w:tc>
          <w:tcPr>
            <w:tcW w:w="0" w:type="dxa"/>
          </w:tcPr>
          <w:p>
            <w:pPr>
              <w:pStyle w:val="24"/>
              <w:jc w:val="center"/>
            </w:pPr>
            <w:r>
              <w:t>节点数量</w:t>
            </w:r>
          </w:p>
        </w:tc>
        <w:tc>
          <w:tcPr>
            <w:tcW w:w="0" w:type="dxa"/>
          </w:tcPr>
          <w:p>
            <w:pPr>
              <w:pStyle w:val="24"/>
              <w:jc w:val="center"/>
            </w:pPr>
            <w:r>
              <w:t>很多</w:t>
            </w:r>
          </w:p>
        </w:tc>
        <w:tc>
          <w:tcPr>
            <w:tcW w:w="0" w:type="dxa"/>
          </w:tcPr>
          <w:p>
            <w:pPr>
              <w:pStyle w:val="24"/>
              <w:jc w:val="center"/>
            </w:pPr>
            <w:r>
              <w:t>较多</w:t>
            </w:r>
          </w:p>
        </w:tc>
        <w:tc>
          <w:tcPr>
            <w:tcW w:w="0" w:type="dxa"/>
          </w:tcPr>
          <w:p>
            <w:pPr>
              <w:pStyle w:val="24"/>
              <w:jc w:val="center"/>
            </w:pPr>
            <w:r>
              <w:t>无公链</w:t>
            </w:r>
          </w:p>
        </w:tc>
        <w:tc>
          <w:tcPr>
            <w:tcW w:w="0" w:type="dxa"/>
          </w:tcPr>
          <w:p>
            <w:pPr>
              <w:pStyle w:val="24"/>
              <w:jc w:val="center"/>
            </w:pPr>
            <w:r>
              <w:t>一般</w:t>
            </w:r>
          </w:p>
        </w:tc>
        <w:tc>
          <w:tcPr>
            <w:tcW w:w="0" w:type="dxa"/>
          </w:tcPr>
          <w:p>
            <w:pPr>
              <w:pStyle w:val="24"/>
              <w:jc w:val="center"/>
            </w:pPr>
            <w:r>
              <w:t>一般</w:t>
            </w:r>
          </w:p>
        </w:tc>
      </w:tr>
    </w:tbl>
    <w:p>
      <w:pPr>
        <w:pStyle w:val="2"/>
      </w:pPr>
      <w:bookmarkStart w:id="3" w:name="系统架构"/>
      <w:r>
        <w:t>系统架构</w:t>
      </w:r>
      <w:bookmarkEnd w:id="3"/>
    </w:p>
    <w:p>
      <w:pPr>
        <w:pStyle w:val="23"/>
      </w:pPr>
      <w:r>
        <w:t>金融行业的区块链，不是公链，必须满足金融监管要求，因此在系统架构上就要充分考虑这个要求，本章节阐述满足金融业务的区块链系统架构应该注意的事项。</w:t>
      </w:r>
    </w:p>
    <w:p>
      <w:pPr>
        <w:pStyle w:val="4"/>
      </w:pPr>
      <w:bookmarkStart w:id="4" w:name="系统架构总览"/>
      <w:r>
        <w:t>系统架构总览</w:t>
      </w:r>
      <w:bookmarkEnd w:id="4"/>
    </w:p>
    <w:p>
      <w:pPr>
        <w:pStyle w:val="34"/>
      </w:pPr>
      <w:r>
        <w:drawing>
          <wp:inline distT="0" distB="0" distL="114300" distR="114300">
            <wp:extent cx="5334000" cy="3696335"/>
            <wp:effectExtent l="0" t="0" r="0" b="0"/>
            <wp:docPr id="2"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cal image"/>
                    <pic:cNvPicPr>
                      <a:picLocks noChangeAspect="1" noChangeArrowheads="1"/>
                    </pic:cNvPicPr>
                  </pic:nvPicPr>
                  <pic:blipFill>
                    <a:blip r:embed="rId5"/>
                    <a:stretch>
                      <a:fillRect/>
                    </a:stretch>
                  </pic:blipFill>
                  <pic:spPr>
                    <a:xfrm>
                      <a:off x="0" y="0"/>
                      <a:ext cx="5334000" cy="3696831"/>
                    </a:xfrm>
                    <a:prstGeom prst="rect">
                      <a:avLst/>
                    </a:prstGeom>
                    <a:noFill/>
                    <a:ln w="9525">
                      <a:noFill/>
                    </a:ln>
                  </pic:spPr>
                </pic:pic>
              </a:graphicData>
            </a:graphic>
          </wp:inline>
        </w:drawing>
      </w:r>
    </w:p>
    <w:p>
      <w:pPr>
        <w:pStyle w:val="32"/>
      </w:pPr>
      <w:r>
        <w:t>local image</w:t>
      </w:r>
    </w:p>
    <w:p>
      <w:pPr>
        <w:numPr>
          <w:ilvl w:val="0"/>
          <w:numId w:val="1"/>
        </w:numPr>
      </w:pPr>
      <w:r>
        <w:t>区域1：区块链网络，也是构建在互联网之上的一个虚拟网络</w:t>
      </w:r>
    </w:p>
    <w:p>
      <w:pPr>
        <w:numPr>
          <w:ilvl w:val="0"/>
          <w:numId w:val="1"/>
        </w:numPr>
      </w:pPr>
      <w:r>
        <w:t>区域2/3/4：区块链网络中的节点区域，可以是单独的节点，也可以是节点和业务应用的混合区域；</w:t>
      </w:r>
    </w:p>
    <w:p>
      <w:pPr>
        <w:numPr>
          <w:ilvl w:val="1"/>
          <w:numId w:val="1"/>
        </w:numPr>
      </w:pPr>
      <w:r>
        <w:t>DMZ：Dmilitarized zone,隔离区或者称为非军事化区域，位于两个防火墙之间，通常建议在这个区域部署区块链节点服务，连接区块链网络和内部业务网络；</w:t>
      </w:r>
    </w:p>
    <w:p>
      <w:pPr>
        <w:numPr>
          <w:ilvl w:val="1"/>
          <w:numId w:val="1"/>
        </w:numPr>
      </w:pPr>
      <w:r>
        <w:t>SEAAPS: SEAAPS为区块链提供基础服务的应用，例如区块链浏览器，预言机服务；</w:t>
      </w:r>
    </w:p>
    <w:p>
      <w:pPr>
        <w:numPr>
          <w:ilvl w:val="1"/>
          <w:numId w:val="1"/>
        </w:numPr>
      </w:pPr>
      <w:r>
        <w:t>Intranet/Service: 业务应用服务，是银行自己内部业务系统，例如银行账户系统，KYC服务等；</w:t>
      </w:r>
    </w:p>
    <w:p>
      <w:pPr>
        <w:numPr>
          <w:ilvl w:val="1"/>
          <w:numId w:val="1"/>
        </w:numPr>
      </w:pPr>
      <w:r>
        <w:t>Regulator: 行业监管机构，对交易进行监管，满足反洗钱(AML)管理需要；</w:t>
      </w:r>
    </w:p>
    <w:p>
      <w:pPr>
        <w:numPr>
          <w:ilvl w:val="1"/>
          <w:numId w:val="1"/>
        </w:numPr>
      </w:pPr>
      <w:r>
        <w:t>TAX: 税务监管机构；</w:t>
      </w:r>
    </w:p>
    <w:p>
      <w:pPr>
        <w:numPr>
          <w:ilvl w:val="0"/>
          <w:numId w:val="1"/>
        </w:numPr>
      </w:pPr>
      <w:r>
        <w:t>三角形：代表区块链的共识节点，通常是联盟链管理机构进行选举指定的记账节点；</w:t>
      </w:r>
    </w:p>
    <w:p>
      <w:pPr>
        <w:numPr>
          <w:ilvl w:val="0"/>
          <w:numId w:val="1"/>
        </w:numPr>
      </w:pPr>
      <w:r>
        <w:t>圆形：接入节点，联盟链许可接入的节点，没有记账权的节点</w:t>
      </w:r>
    </w:p>
    <w:p>
      <w:pPr>
        <w:pStyle w:val="4"/>
      </w:pPr>
      <w:bookmarkStart w:id="5" w:name="节点"/>
      <w:r>
        <w:t>节点</w:t>
      </w:r>
      <w:bookmarkEnd w:id="5"/>
    </w:p>
    <w:p>
      <w:pPr>
        <w:pStyle w:val="23"/>
      </w:pPr>
      <w:r>
        <w:t>SWTC区块链是由多个参与方的节点互相连接起来的一个虚拟的网络，网络中的每个参与方可以有一个或者多个节点，他们以网络服务的形式存在，每个节点都维护全部或者部分账本数据，整个区块链网络中账本数据有多个副本，因此单个或者部分节点失能，不会丢失数据，不会停止服务。</w:t>
      </w:r>
    </w:p>
    <w:p>
      <w:pPr>
        <w:pStyle w:val="3"/>
      </w:pPr>
      <w:r>
        <w:t>SWTC区块链的共识采用RANDOMIZED BFT的方式。SWTC区块链的核心有若干个验证节点维持系统的基本验证网络。SWTC区块链的验证网络对每一个接入SWTC区块链的应用开放。接入SWTC区块链的应用是指以SWTC区块链为平台的针对某些用户的应用程序。这些应用可以通过SWTC区块链提供的API直接接入SWTC区块链的公有区块链。这些应用可以起到一个验证节点的作用。</w:t>
      </w:r>
    </w:p>
    <w:p>
      <w:pPr>
        <w:pStyle w:val="3"/>
      </w:pPr>
      <w:r>
        <w:t>这样的节点可以实现两个功能:</w:t>
      </w:r>
    </w:p>
    <w:p>
      <w:pPr>
        <w:numPr>
          <w:ilvl w:val="0"/>
          <w:numId w:val="2"/>
        </w:numPr>
      </w:pPr>
      <w:r>
        <w:t>参与SWTC区块链网络的公共节点验证，实现应用接入SWTC区块链网络。</w:t>
      </w:r>
    </w:p>
    <w:p>
      <w:pPr>
        <w:numPr>
          <w:ilvl w:val="0"/>
          <w:numId w:val="2"/>
        </w:numPr>
      </w:pPr>
      <w:r>
        <w:t>如果应用只是仅仅使用API访问所需的区块链功能，则并不需要部署一个单独的验证节点，部署一个接入节点即可。</w:t>
      </w:r>
    </w:p>
    <w:p>
      <w:pPr>
        <w:pStyle w:val="23"/>
      </w:pPr>
      <w:r>
        <w:t>PBFT算法有三分之一的容错率，验证节点数量建议不低于6个节点。</w:t>
      </w:r>
    </w:p>
    <w:p>
      <w:pPr>
        <w:pStyle w:val="4"/>
      </w:pPr>
      <w:bookmarkStart w:id="6" w:name="共识算法"/>
      <w:r>
        <w:t>共识算法</w:t>
      </w:r>
      <w:bookmarkEnd w:id="6"/>
    </w:p>
    <w:p>
      <w:pPr>
        <w:pStyle w:val="23"/>
      </w:pPr>
      <w:r>
        <w:t>SWTC区块链技术采用自有知识产权的随机BFT共识算法。</w:t>
      </w:r>
    </w:p>
    <w:p>
      <w:pPr>
        <w:pStyle w:val="3"/>
      </w:pPr>
      <w:r>
        <w:t>PBFT的这个机制下有一个叫View的概念，在一个View 里，一个节点(REPLICA)会是主节点(PRIMARY)，其余的节点都叫备份节点(BACKUPS)。主节点负责将来自客户端的请求给排好序，然后按序发送给备份节点们。PBFT的这个主节点拥有比其它节点更加大的权利，如果它出现问题，会导致系统中比较大的延迟。在RBFT中，对这一点进行了改进，参考了RAFT中选举的机制，采用投票表决方式，无需抢夺记账权，保证各个节点权益的公平性。</w:t>
      </w:r>
    </w:p>
    <w:p>
      <w:pPr>
        <w:pStyle w:val="4"/>
      </w:pPr>
      <w:bookmarkStart w:id="7" w:name="金融区块链"/>
      <w:r>
        <w:t>金融区块链</w:t>
      </w:r>
      <w:bookmarkEnd w:id="7"/>
    </w:p>
    <w:p>
      <w:pPr>
        <w:pStyle w:val="23"/>
      </w:pPr>
      <w:r>
        <w:t>金融区块链是一个联盟链，也是一个许可链。</w:t>
      </w:r>
    </w:p>
    <w:p>
      <w:pPr>
        <w:pStyle w:val="3"/>
      </w:pPr>
      <w:r>
        <w:t>金融区块链由金融行业中的企业构成的一个网络，通过这个网络来运行各种金融业务，其交易数据信息只有联盟内的成员才有资格查看，因此需要联盟成员进行批准才能接入联盟链。</w:t>
      </w:r>
    </w:p>
    <w:p>
      <w:pPr>
        <w:pStyle w:val="3"/>
      </w:pPr>
      <w:r>
        <w:t>监管部门（包括所在国税务机构）作为其中一个节点成员对交易实时监管，以满足反洗钱监管和其他业务监管要求，如果发生违反监管的交易，可以通过联盟链的治理机制对相关交易人钱包实施冻结，防止造成更大的违法后果。</w:t>
      </w:r>
    </w:p>
    <w:p>
      <w:pPr>
        <w:pStyle w:val="2"/>
      </w:pPr>
      <w:bookmarkStart w:id="8" w:name="软件系统架构"/>
      <w:r>
        <w:t>软件系统架构</w:t>
      </w:r>
      <w:bookmarkEnd w:id="8"/>
    </w:p>
    <w:p>
      <w:pPr>
        <w:pStyle w:val="23"/>
      </w:pPr>
      <w:r>
        <w:t>区块链和金融业务实际结合，在软件架构层面和传统的中心化系统不一样，本章节不仅通过架构来说明，针对不同场景应用，也有设计说明。</w:t>
      </w:r>
    </w:p>
    <w:p>
      <w:pPr>
        <w:pStyle w:val="4"/>
      </w:pPr>
      <w:bookmarkStart w:id="9" w:name="软件架构"/>
      <w:r>
        <w:t>软件架构</w:t>
      </w:r>
      <w:bookmarkEnd w:id="9"/>
    </w:p>
    <w:p>
      <w:pPr>
        <w:pStyle w:val="23"/>
      </w:pPr>
      <w:r>
        <w:t>金融应用的软件架构如下图：</w:t>
      </w:r>
    </w:p>
    <w:p>
      <w:pPr>
        <w:pStyle w:val="34"/>
      </w:pPr>
      <w:r>
        <w:drawing>
          <wp:inline distT="0" distB="0" distL="114300" distR="114300">
            <wp:extent cx="5334000" cy="3696335"/>
            <wp:effectExtent l="0" t="0" r="0" b="0"/>
            <wp:docPr id="3"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cal image"/>
                    <pic:cNvPicPr>
                      <a:picLocks noChangeAspect="1" noChangeArrowheads="1"/>
                    </pic:cNvPicPr>
                  </pic:nvPicPr>
                  <pic:blipFill>
                    <a:blip r:embed="rId6"/>
                    <a:stretch>
                      <a:fillRect/>
                    </a:stretch>
                  </pic:blipFill>
                  <pic:spPr>
                    <a:xfrm>
                      <a:off x="0" y="0"/>
                      <a:ext cx="5334000" cy="3696831"/>
                    </a:xfrm>
                    <a:prstGeom prst="rect">
                      <a:avLst/>
                    </a:prstGeom>
                    <a:noFill/>
                    <a:ln w="9525">
                      <a:noFill/>
                    </a:ln>
                  </pic:spPr>
                </pic:pic>
              </a:graphicData>
            </a:graphic>
          </wp:inline>
        </w:drawing>
      </w:r>
    </w:p>
    <w:p>
      <w:pPr>
        <w:pStyle w:val="32"/>
      </w:pPr>
      <w:r>
        <w:t>local image</w:t>
      </w:r>
    </w:p>
    <w:p>
      <w:pPr>
        <w:pStyle w:val="3"/>
      </w:pPr>
      <w:r>
        <w:t>作为应用，例如(eWallet)，是通过集成SDK获得访问区块链服务的能力。在API以下区域，可以视为一个区块链节点服务，整个区块链网络中有很多这样的节点，应用可以选择任意一个节点，都可以运行。</w:t>
      </w:r>
    </w:p>
    <w:p>
      <w:pPr>
        <w:pStyle w:val="3"/>
      </w:pPr>
      <w:r>
        <w:t>区块链的设计是围绕账本可信的目的展开的，因此对交易的统计归类以及查询来说，区块链的API是低效的，通常情况下这个职责由浏览器服务来担任。</w:t>
      </w:r>
    </w:p>
    <w:p>
      <w:pPr>
        <w:pStyle w:val="4"/>
      </w:pPr>
      <w:bookmarkStart w:id="10" w:name="支付"/>
      <w:r>
        <w:t>支付</w:t>
      </w:r>
      <w:bookmarkEnd w:id="10"/>
    </w:p>
    <w:p>
      <w:pPr>
        <w:pStyle w:val="23"/>
      </w:pPr>
      <w:r>
        <w:t>作为银行来说，使用区块链进行支付，需要将真实的资金和区块链上流通的通证进行映射，业务框架图如下：</w:t>
      </w:r>
    </w:p>
    <w:p>
      <w:pPr>
        <w:pStyle w:val="34"/>
      </w:pPr>
      <w:r>
        <w:drawing>
          <wp:inline distT="0" distB="0" distL="114300" distR="114300">
            <wp:extent cx="5334000" cy="3956050"/>
            <wp:effectExtent l="0" t="0" r="0" b="0"/>
            <wp:docPr id="4"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cal image"/>
                    <pic:cNvPicPr>
                      <a:picLocks noChangeAspect="1" noChangeArrowheads="1"/>
                    </pic:cNvPicPr>
                  </pic:nvPicPr>
                  <pic:blipFill>
                    <a:blip r:embed="rId7"/>
                    <a:stretch>
                      <a:fillRect/>
                    </a:stretch>
                  </pic:blipFill>
                  <pic:spPr>
                    <a:xfrm>
                      <a:off x="0" y="0"/>
                      <a:ext cx="5334000" cy="3956050"/>
                    </a:xfrm>
                    <a:prstGeom prst="rect">
                      <a:avLst/>
                    </a:prstGeom>
                    <a:noFill/>
                    <a:ln w="9525">
                      <a:noFill/>
                    </a:ln>
                  </pic:spPr>
                </pic:pic>
              </a:graphicData>
            </a:graphic>
          </wp:inline>
        </w:drawing>
      </w:r>
    </w:p>
    <w:p>
      <w:pPr>
        <w:pStyle w:val="32"/>
      </w:pPr>
      <w:r>
        <w:t>local image</w:t>
      </w:r>
    </w:p>
    <w:p>
      <w:pPr>
        <w:numPr>
          <w:ilvl w:val="0"/>
          <w:numId w:val="3"/>
        </w:numPr>
        <w:tabs>
          <w:tab w:val="left" w:pos="0"/>
        </w:tabs>
      </w:pPr>
      <w:r>
        <w:t>用户（公司）注册区块链钱包，并在银行完成KYC，和用户在银行的账户进行绑定</w:t>
      </w:r>
    </w:p>
    <w:p>
      <w:pPr>
        <w:numPr>
          <w:ilvl w:val="0"/>
          <w:numId w:val="3"/>
        </w:numPr>
        <w:tabs>
          <w:tab w:val="left" w:pos="0"/>
        </w:tabs>
      </w:pPr>
      <w:r>
        <w:t>用户（公司）充值货币到银行，</w:t>
      </w:r>
    </w:p>
    <w:p>
      <w:pPr>
        <w:numPr>
          <w:ilvl w:val="0"/>
          <w:numId w:val="3"/>
        </w:numPr>
        <w:tabs>
          <w:tab w:val="left" w:pos="0"/>
        </w:tabs>
      </w:pPr>
      <w:r>
        <w:t>银行收到后，将用户银行账户的相应资金转移到托管的资金池账户</w:t>
      </w:r>
    </w:p>
    <w:p>
      <w:pPr>
        <w:numPr>
          <w:ilvl w:val="0"/>
          <w:numId w:val="3"/>
        </w:numPr>
        <w:tabs>
          <w:tab w:val="left" w:pos="0"/>
        </w:tabs>
      </w:pPr>
      <w:r>
        <w:t>银行接着将DC转移到用户的钱包中</w:t>
      </w:r>
    </w:p>
    <w:p>
      <w:pPr>
        <w:numPr>
          <w:ilvl w:val="0"/>
          <w:numId w:val="3"/>
        </w:numPr>
        <w:tabs>
          <w:tab w:val="left" w:pos="0"/>
        </w:tabs>
      </w:pPr>
      <w:r>
        <w:t>用户自己可以直接将DC支付给另外一个用户钱包</w:t>
      </w:r>
    </w:p>
    <w:p>
      <w:pPr>
        <w:numPr>
          <w:ilvl w:val="0"/>
          <w:numId w:val="3"/>
        </w:numPr>
        <w:tabs>
          <w:tab w:val="left" w:pos="0"/>
        </w:tabs>
      </w:pPr>
      <w:r>
        <w:t>用户B需要提现成货币到自己银行账户的话，在区块链上发起提现流程，将资金转移到银行的钱包中(Fingate)</w:t>
      </w:r>
    </w:p>
    <w:p>
      <w:pPr>
        <w:numPr>
          <w:ilvl w:val="0"/>
          <w:numId w:val="3"/>
        </w:numPr>
        <w:tabs>
          <w:tab w:val="left" w:pos="0"/>
        </w:tabs>
      </w:pPr>
      <w:r>
        <w:t>银行监视到资金变化后，根据交易请求，将资金池里面的资金划拨到用户B的银行账户中</w:t>
      </w:r>
    </w:p>
    <w:p>
      <w:pPr>
        <w:numPr>
          <w:ilvl w:val="0"/>
          <w:numId w:val="3"/>
        </w:numPr>
        <w:tabs>
          <w:tab w:val="left" w:pos="0"/>
        </w:tabs>
      </w:pPr>
      <w:r>
        <w:t>在区块链上的支付活动受到监管节点的监视，满足反洗钱（AML）的监管要求，因为每个钱包都是做了KYC的。</w:t>
      </w:r>
    </w:p>
    <w:p>
      <w:pPr>
        <w:pStyle w:val="23"/>
      </w:pPr>
      <w:r>
        <w:t>图中的资金池的资金是在区块链上流通的资产通证的总和，两边的数量完全一致。</w:t>
      </w:r>
    </w:p>
    <w:p>
      <w:pPr>
        <w:pStyle w:val="4"/>
      </w:pPr>
      <w:bookmarkStart w:id="11" w:name="汇兑"/>
      <w:r>
        <w:t>汇兑</w:t>
      </w:r>
      <w:bookmarkEnd w:id="11"/>
    </w:p>
    <w:p>
      <w:pPr>
        <w:pStyle w:val="23"/>
      </w:pPr>
      <w:r>
        <w:t>对于汇兑业务，基于区块链的流程如下：</w:t>
      </w:r>
    </w:p>
    <w:p>
      <w:pPr>
        <w:pStyle w:val="34"/>
      </w:pPr>
      <w:r>
        <w:drawing>
          <wp:inline distT="0" distB="0" distL="114300" distR="114300">
            <wp:extent cx="5334000" cy="3315970"/>
            <wp:effectExtent l="0" t="0" r="0" b="0"/>
            <wp:docPr id="5"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local image"/>
                    <pic:cNvPicPr>
                      <a:picLocks noChangeAspect="1" noChangeArrowheads="1"/>
                    </pic:cNvPicPr>
                  </pic:nvPicPr>
                  <pic:blipFill>
                    <a:blip r:embed="rId8"/>
                    <a:stretch>
                      <a:fillRect/>
                    </a:stretch>
                  </pic:blipFill>
                  <pic:spPr>
                    <a:xfrm>
                      <a:off x="0" y="0"/>
                      <a:ext cx="5334000" cy="3316586"/>
                    </a:xfrm>
                    <a:prstGeom prst="rect">
                      <a:avLst/>
                    </a:prstGeom>
                    <a:noFill/>
                    <a:ln w="9525">
                      <a:noFill/>
                    </a:ln>
                  </pic:spPr>
                </pic:pic>
              </a:graphicData>
            </a:graphic>
          </wp:inline>
        </w:drawing>
      </w:r>
    </w:p>
    <w:p>
      <w:pPr>
        <w:pStyle w:val="32"/>
      </w:pPr>
      <w:r>
        <w:t>local image</w:t>
      </w:r>
    </w:p>
    <w:p>
      <w:pPr>
        <w:pStyle w:val="3"/>
      </w:pPr>
      <w:r>
        <w:t>对于会使用手机APP的用户来说，接收到通证后，直接用APP进行支付，或者在将通证通过银行银关提现到自己的银行账户。</w:t>
      </w:r>
    </w:p>
    <w:p>
      <w:pPr>
        <w:pStyle w:val="3"/>
      </w:pPr>
      <w:r>
        <w:t>对于没有银行账户的用户来说，汇款人可以用双重加密方式进行汇款。</w:t>
      </w:r>
    </w:p>
    <w:p>
      <w:pPr>
        <w:numPr>
          <w:ilvl w:val="0"/>
          <w:numId w:val="4"/>
        </w:numPr>
        <w:tabs>
          <w:tab w:val="left" w:pos="0"/>
        </w:tabs>
      </w:pPr>
      <w:r>
        <w:t>汇款人将通证转账到离接收人最近的取款点钱包中，备注用取款点钱包地址加上汇款人指定的密码进行双重加密；</w:t>
      </w:r>
    </w:p>
    <w:p>
      <w:pPr>
        <w:numPr>
          <w:ilvl w:val="0"/>
          <w:numId w:val="4"/>
        </w:numPr>
        <w:tabs>
          <w:tab w:val="left" w:pos="0"/>
        </w:tabs>
      </w:pPr>
      <w:r>
        <w:t>汇款人将密码通过短信、电话等其他方式告知接收人；</w:t>
      </w:r>
    </w:p>
    <w:p>
      <w:pPr>
        <w:numPr>
          <w:ilvl w:val="0"/>
          <w:numId w:val="4"/>
        </w:numPr>
        <w:tabs>
          <w:tab w:val="left" w:pos="0"/>
        </w:tabs>
      </w:pPr>
      <w:r>
        <w:t>接收人到取款点，告知密码，取款点用只有自己知道的钱包密钥和密码进行解密，得到备注明文信息，核对接收人身份后，付款；</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86"/>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10002FF" w:usb1="4000FCFF" w:usb2="00000009" w:usb3="00000000" w:csb0="6000019F" w:csb1="DFD7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9FFC2B2"/>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2020-01-02T20:13:00Z</dcterms:created>
  <dc:creator>chtian</dc:creator>
  <cp:lastModifiedBy>chtian</cp:lastModifiedBy>
  <dcterms:modified xsi:type="dcterms:W3CDTF">2020-01-02T20:24:32Z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