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B564D"/>
          <w:sz w:val="28"/>
        </w:rPr>
        <w:t>RAPPORT D'ANALYSE</w:t>
      </w:r>
    </w:p>
    <w:p>
      <w:pPr>
        <w:jc w:val="center"/>
      </w:pPr>
      <w:r>
        <w:rPr>
          <w:b/>
          <w:color w:val="0072B2"/>
          <w:sz w:val="52"/>
        </w:rPr>
        <w:t>Performance Programmatique, Financière,</w:t>
        <w:br/>
        <w:t>Opérationnelle et de Redevabilité</w:t>
      </w:r>
    </w:p>
    <w:p>
      <w:pPr>
        <w:jc w:val="center"/>
      </w:pPr>
      <w:r>
        <w:rPr>
          <w:color w:val="25231F"/>
          <w:sz w:val="30"/>
        </w:rPr>
        <w:t>Faso Espoir International (FEI) — Burkina Faso</w:t>
      </w:r>
    </w:p>
    <w:p/>
    <w:p/>
    <w:p>
      <w:pPr>
        <w:jc w:val="center"/>
      </w:pPr>
      <w:r>
        <w:rPr>
          <w:color w:val="5B564D"/>
          <w:sz w:val="22"/>
        </w:rPr>
        <w:t>Période analysée : 2021 – 2025  |  Devise de référence : USD</w:t>
      </w:r>
    </w:p>
    <w:p>
      <w:pPr>
        <w:jc w:val="center"/>
      </w:pPr>
      <w:r>
        <w:rPr>
          <w:color w:val="5B564D"/>
          <w:sz w:val="22"/>
        </w:rPr>
        <w:t>Rapport destiné à la Direction — 18 juillet 2026</w:t>
      </w:r>
    </w:p>
    <w:p/>
    <w:p/>
    <w:p>
      <w:pPr>
        <w:jc w:val="center"/>
        <w:shd w:val="clear" w:fill="F4F1EA"/>
      </w:pPr>
      <w:r>
        <w:rPr>
          <w:b/>
          <w:color w:val="D6483F"/>
          <w:sz w:val="19"/>
        </w:rPr>
        <w:t>CONFIDENTIEL — Usage interne. Les données nominatives des bénéficiaires ont été exclues de cette analyse ; seules des données agrégées et anonymisées sont présentées.</w:t>
      </w:r>
    </w:p>
    <w:p>
      <w:r>
        <w:br w:type="page"/>
      </w:r>
    </w:p>
    <w:p>
      <w:pPr>
        <w:pStyle w:val="Heading1"/>
      </w:pPr>
      <w:r>
        <w:t>1. Contexte</w:t>
      </w:r>
    </w:p>
    <w:p>
      <w:r>
        <w:t>Faso Espoir International (FEI) est une organisation non gouvernementale internationale (ONGI) intervenant au Burkina Faso dans le domaine du Suivi, de l'Évaluation, de la Redevabilité et de l'Apprentissage (MEAL). Depuis 2021, FEI opère à travers 12 bases terrain réparties sur l'ensemble du territoire et couvre 11 secteurs d'intervention humanitaire (sécurité alimentaire, nutrition, eau-hygiène-assainissement, protection, moyens de subsistance, entre autres), en coordination avec le cluster OCHA Burkina Faso.</w:t>
      </w:r>
    </w:p>
    <w:p>
      <w:r>
        <w:t>Ce rapport a pour objet de présenter à la Direction une analyse consolidée de la base de données MEAL de l'organisation, afin d'éclairer la prise de décision sur quatre axes prioritaires : la performance programmatique, le suivi financier, les opérations et la chaîne d'approvisionnement, ainsi que la redevabilité et la qualité du programme. Il s'appuie directement sur le tableau de bord Power BI développé pour le suivi continu de ces indicateurs.</w:t>
      </w:r>
    </w:p>
    <w:p>
      <w:pPr>
        <w:pStyle w:val="Heading1"/>
      </w:pPr>
      <w:r>
        <w:t>2. Méthodologie</w:t>
      </w:r>
    </w:p>
    <w:p>
      <w:r>
        <w:t>L'analyse repose sur la base de données MEAL consolidée de FEI (25 tables couvrant les bénéficiaires, activités, décaissements, cadre logique, plaintes, stocks, approvisionnements et partenaires de mise en œuvre), collectée via KoboToolbox/ODK sur la période fiscale 2021-2025. Les données ont fait l'objet d'un nettoyage et d'une modélisation (correction des types de données, consolidation des relations entre tables, mise en place d'un calendrier d'analyse temporelle) avant le calcul de 31 indicateurs clés répartis en quatre familles. Les champs nominatifs des bénéficiaires (nom, prénom, téléphone) ont été exclus de l'analyse ; seules des catégories agrégées (âge, sexe, région, vulnérabilité) sont mobilisées. Les figures présentées sont des agrégats calculés sur l'ensemble de la période sauf mention contraire.</w:t>
      </w:r>
    </w:p>
    <w:p>
      <w:r>
        <w:br w:type="page"/>
      </w:r>
    </w:p>
    <w:p>
      <w:pPr>
        <w:pStyle w:val="Heading1"/>
      </w:pPr>
      <w:r>
        <w:t>3. Principaux constats</w:t>
      </w:r>
    </w:p>
    <w:p>
      <w:r>
        <w:t>Vue d'ensemble des indicateurs clés sur la période 2021-2025 :</w:t>
      </w:r>
    </w:p>
    <w:tbl>
      <w:tblPr>
        <w:tblW w:type="auto" w:w="0"/>
        <w:jc w:val="center"/>
        <w:tblLayout w:type="fixed"/>
        <w:tblLook w:firstColumn="1" w:firstRow="1" w:lastColumn="0" w:lastRow="0" w:noHBand="0" w:noVBand="1" w:val="04A0"/>
      </w:tblPr>
      <w:tblGrid>
        <w:gridCol w:w="3137"/>
        <w:gridCol w:w="3137"/>
        <w:gridCol w:w="3137"/>
      </w:tblGrid>
      <w:tr>
        <w:tc>
          <w:tcPr>
            <w:tcW w:type="dxa" w:w="4252"/>
            <w:shd w:val="clear" w:fill="0072B2"/>
          </w:tcPr>
          <w:p>
            <w:r>
              <w:rPr>
                <w:b/>
                <w:color w:val="FFFFFF"/>
                <w:sz w:val="19"/>
              </w:rPr>
              <w:t>Indicateur</w:t>
            </w:r>
          </w:p>
        </w:tc>
        <w:tc>
          <w:tcPr>
            <w:tcW w:type="dxa" w:w="1984"/>
            <w:shd w:val="clear" w:fill="0072B2"/>
          </w:tcPr>
          <w:p>
            <w:r>
              <w:rPr>
                <w:b/>
                <w:color w:val="FFFFFF"/>
                <w:sz w:val="19"/>
              </w:rPr>
              <w:t>Valeur</w:t>
            </w:r>
          </w:p>
        </w:tc>
        <w:tc>
          <w:tcPr>
            <w:tcW w:type="dxa" w:w="3118"/>
            <w:shd w:val="clear" w:fill="0072B2"/>
          </w:tcPr>
          <w:p>
            <w:r>
              <w:rPr>
                <w:b/>
                <w:color w:val="FFFFFF"/>
                <w:sz w:val="19"/>
              </w:rPr>
              <w:t>Lecture</w:t>
            </w:r>
          </w:p>
        </w:tc>
      </w:tr>
      <w:tr>
        <w:tc>
          <w:tcPr>
            <w:tcW w:type="dxa" w:w="4252"/>
          </w:tcPr>
          <w:p>
            <w:r>
              <w:rPr>
                <w:sz w:val="19"/>
              </w:rPr>
              <w:t>Bénéficiaires actifs</w:t>
            </w:r>
          </w:p>
        </w:tc>
        <w:tc>
          <w:tcPr>
            <w:tcW w:type="dxa" w:w="1984"/>
          </w:tcPr>
          <w:p>
            <w:r>
              <w:rPr>
                <w:b/>
                <w:color w:val="0072B2"/>
                <w:sz w:val="19"/>
              </w:rPr>
              <w:t>1 372 / 2 000 (68,6 %)</w:t>
            </w:r>
          </w:p>
        </w:tc>
        <w:tc>
          <w:tcPr>
            <w:tcW w:type="dxa" w:w="3118"/>
          </w:tcPr>
          <w:p>
            <w:r>
              <w:rPr>
                <w:sz w:val="19"/>
              </w:rPr>
              <w:t>373 inactifs, 255 sortis du programme</w:t>
            </w:r>
          </w:p>
        </w:tc>
      </w:tr>
      <w:tr>
        <w:tc>
          <w:tcPr>
            <w:tcW w:type="dxa" w:w="4252"/>
          </w:tcPr>
          <w:p>
            <w:r>
              <w:rPr>
                <w:sz w:val="19"/>
              </w:rPr>
              <w:t>Taux d'exécution budgétaire</w:t>
            </w:r>
          </w:p>
        </w:tc>
        <w:tc>
          <w:tcPr>
            <w:tcW w:type="dxa" w:w="1984"/>
          </w:tcPr>
          <w:p>
            <w:r>
              <w:rPr>
                <w:b/>
                <w:color w:val="0072B2"/>
                <w:sz w:val="19"/>
              </w:rPr>
              <w:t>91,7 %</w:t>
            </w:r>
          </w:p>
        </w:tc>
        <w:tc>
          <w:tcPr>
            <w:tcW w:type="dxa" w:w="3118"/>
          </w:tcPr>
          <w:p>
            <w:r>
              <w:rPr>
                <w:sz w:val="19"/>
              </w:rPr>
              <w:t>24,11 M USD décaissés / 26,29 M USD prévus</w:t>
            </w:r>
          </w:p>
        </w:tc>
      </w:tr>
      <w:tr>
        <w:tc>
          <w:tcPr>
            <w:tcW w:type="dxa" w:w="4252"/>
          </w:tcPr>
          <w:p>
            <w:r>
              <w:rPr>
                <w:sz w:val="19"/>
              </w:rPr>
              <w:t>Taux de réalisation cadre logique (volume)</w:t>
            </w:r>
          </w:p>
        </w:tc>
        <w:tc>
          <w:tcPr>
            <w:tcW w:type="dxa" w:w="1984"/>
          </w:tcPr>
          <w:p>
            <w:r>
              <w:rPr>
                <w:b/>
                <w:color w:val="0072B2"/>
                <w:sz w:val="19"/>
              </w:rPr>
              <w:t>70,6 %</w:t>
            </w:r>
          </w:p>
        </w:tc>
        <w:tc>
          <w:tcPr>
            <w:tcW w:type="dxa" w:w="3118"/>
          </w:tcPr>
          <w:p>
            <w:r>
              <w:rPr>
                <w:sz w:val="19"/>
              </w:rPr>
              <w:t>3,55 M bénéficiaires atteints / 5,03 M ciblés</w:t>
            </w:r>
          </w:p>
        </w:tc>
      </w:tr>
      <w:tr>
        <w:tc>
          <w:tcPr>
            <w:tcW w:type="dxa" w:w="4252"/>
          </w:tcPr>
          <w:p>
            <w:r>
              <w:rPr>
                <w:sz w:val="19"/>
              </w:rPr>
              <w:t>Objectifs individuels « Atteint »</w:t>
            </w:r>
          </w:p>
        </w:tc>
        <w:tc>
          <w:tcPr>
            <w:tcW w:type="dxa" w:w="1984"/>
          </w:tcPr>
          <w:p>
            <w:r>
              <w:rPr>
                <w:b/>
                <w:color w:val="0072B2"/>
                <w:sz w:val="19"/>
              </w:rPr>
              <w:t>20,6 % (103 / 500)</w:t>
            </w:r>
          </w:p>
        </w:tc>
        <w:tc>
          <w:tcPr>
            <w:tcW w:type="dxa" w:w="3118"/>
          </w:tcPr>
          <w:p>
            <w:r>
              <w:rPr>
                <w:sz w:val="19"/>
              </w:rPr>
              <w:t>42,8 % « Non Atteint »</w:t>
            </w:r>
          </w:p>
        </w:tc>
      </w:tr>
      <w:tr>
        <w:tc>
          <w:tcPr>
            <w:tcW w:type="dxa" w:w="4252"/>
          </w:tcPr>
          <w:p>
            <w:r>
              <w:rPr>
                <w:sz w:val="19"/>
              </w:rPr>
              <w:t>Activités réalisées</w:t>
            </w:r>
          </w:p>
        </w:tc>
        <w:tc>
          <w:tcPr>
            <w:tcW w:type="dxa" w:w="1984"/>
          </w:tcPr>
          <w:p>
            <w:r>
              <w:rPr>
                <w:b/>
                <w:color w:val="0072B2"/>
                <w:sz w:val="19"/>
              </w:rPr>
              <w:t>82,2 % (12 325 / 15 000)</w:t>
            </w:r>
          </w:p>
        </w:tc>
        <w:tc>
          <w:tcPr>
            <w:tcW w:type="dxa" w:w="3118"/>
          </w:tcPr>
          <w:p>
            <w:r>
              <w:rPr>
                <w:sz w:val="19"/>
              </w:rPr>
              <w:t>8,1 % reportées, 5,7 % annulées</w:t>
            </w:r>
          </w:p>
        </w:tc>
      </w:tr>
      <w:tr>
        <w:tc>
          <w:tcPr>
            <w:tcW w:type="dxa" w:w="4252"/>
          </w:tcPr>
          <w:p>
            <w:r>
              <w:rPr>
                <w:sz w:val="19"/>
              </w:rPr>
              <w:t>Livraisons en retard</w:t>
            </w:r>
          </w:p>
        </w:tc>
        <w:tc>
          <w:tcPr>
            <w:tcW w:type="dxa" w:w="1984"/>
          </w:tcPr>
          <w:p>
            <w:r>
              <w:rPr>
                <w:b/>
                <w:color w:val="0072B2"/>
                <w:sz w:val="19"/>
              </w:rPr>
              <w:t>12,1 %</w:t>
            </w:r>
          </w:p>
        </w:tc>
        <w:tc>
          <w:tcPr>
            <w:tcW w:type="dxa" w:w="3118"/>
          </w:tcPr>
          <w:p>
            <w:r>
              <w:rPr>
                <w:sz w:val="19"/>
              </w:rPr>
              <w:t>délai moyen 3,3 jours</w:t>
            </w:r>
          </w:p>
        </w:tc>
      </w:tr>
      <w:tr>
        <w:tc>
          <w:tcPr>
            <w:tcW w:type="dxa" w:w="4252"/>
          </w:tcPr>
          <w:p>
            <w:r>
              <w:rPr>
                <w:sz w:val="19"/>
              </w:rPr>
              <w:t>Bases en rupture de stock imminente</w:t>
            </w:r>
          </w:p>
        </w:tc>
        <w:tc>
          <w:tcPr>
            <w:tcW w:type="dxa" w:w="1984"/>
          </w:tcPr>
          <w:p>
            <w:r>
              <w:rPr>
                <w:b/>
                <w:color w:val="0072B2"/>
                <w:sz w:val="19"/>
              </w:rPr>
              <w:t>11 / 12</w:t>
            </w:r>
          </w:p>
        </w:tc>
        <w:tc>
          <w:tcPr>
            <w:tcW w:type="dxa" w:w="3118"/>
          </w:tcPr>
          <w:p>
            <w:r>
              <w:rPr>
                <w:sz w:val="19"/>
              </w:rPr>
              <w:t>47 mouvements de stock critiques</w:t>
            </w:r>
          </w:p>
        </w:tc>
      </w:tr>
      <w:tr>
        <w:tc>
          <w:tcPr>
            <w:tcW w:type="dxa" w:w="4252"/>
          </w:tcPr>
          <w:p>
            <w:r>
              <w:rPr>
                <w:sz w:val="19"/>
              </w:rPr>
              <w:t>Taux de résolution des plaintes</w:t>
            </w:r>
          </w:p>
        </w:tc>
        <w:tc>
          <w:tcPr>
            <w:tcW w:type="dxa" w:w="1984"/>
          </w:tcPr>
          <w:p>
            <w:r>
              <w:rPr>
                <w:b/>
                <w:color w:val="0072B2"/>
                <w:sz w:val="19"/>
              </w:rPr>
              <w:t>56,7 % (1 133 / 2 000)</w:t>
            </w:r>
          </w:p>
        </w:tc>
        <w:tc>
          <w:tcPr>
            <w:tcW w:type="dxa" w:w="3118"/>
          </w:tcPr>
          <w:p>
            <w:r>
              <w:rPr>
                <w:sz w:val="19"/>
              </w:rPr>
              <w:t>19,8 % encore en cours de traitement</w:t>
            </w:r>
          </w:p>
        </w:tc>
      </w:tr>
      <w:tr>
        <w:tc>
          <w:tcPr>
            <w:tcW w:type="dxa" w:w="4252"/>
          </w:tcPr>
          <w:p>
            <w:r>
              <w:rPr>
                <w:sz w:val="19"/>
              </w:rPr>
              <w:t>Score de performance des partenaires</w:t>
            </w:r>
          </w:p>
        </w:tc>
        <w:tc>
          <w:tcPr>
            <w:tcW w:type="dxa" w:w="1984"/>
          </w:tcPr>
          <w:p>
            <w:r>
              <w:rPr>
                <w:b/>
                <w:color w:val="0072B2"/>
                <w:sz w:val="19"/>
              </w:rPr>
              <w:t>0,80 / 1</w:t>
            </w:r>
          </w:p>
        </w:tc>
        <w:tc>
          <w:tcPr>
            <w:tcW w:type="dxa" w:w="3118"/>
          </w:tcPr>
          <w:p>
            <w:r>
              <w:rPr>
                <w:sz w:val="19"/>
              </w:rPr>
              <w:t>délai moyen de rapportage : 18,1 jours</w:t>
            </w:r>
          </w:p>
        </w:tc>
      </w:tr>
    </w:tbl>
    <w:p/>
    <w:p>
      <w:pPr>
        <w:pStyle w:val="Heading2"/>
      </w:pPr>
      <w:r>
        <w:t>3.1 Performance programmatique</w:t>
      </w:r>
    </w:p>
    <w:p>
      <w:r>
        <w:t>FEI a enregistré 2 000 bénéficiaires depuis 2021, dont 1 372 actifs (68,6 %), 373 inactifs et 255 sortis du programme. La couverture est concentrée sur trois régions à forte insécurité — Est, Sahel et Centre-Nord — qui représentent à elles seules 42 % des bénéficiaires enregistrés. 7,4 % des bénéficiaires vivent avec un handicap et le score de vulnérabilité moyen s'établit à 51/100.</w:t>
      </w:r>
    </w:p>
    <w:p>
      <w:r>
        <w:t>Le cadre logique affiche un taux de réalisation global de 70,6 % en volume (3,55 millions de bénéficiaires atteints sur 5,03 millions ciblés), ce qui masque une réalité plus contrastée : sur les 500 lignes d'objectifs suivies individuellement, seules 20,6 % sont marquées « Atteint », 36,6 % « Partiellement Atteint » et 42,8 % « Non Atteint ». L'agrégat global de réalisation est donc porté par un nombre restreint d'objectifs très performants, tandis qu'une part importante des cibles individuelles sous-performe significativement.</w:t>
      </w:r>
    </w:p>
    <w:p>
      <w:pPr>
        <w:pStyle w:val="Heading2"/>
      </w:pPr>
      <w:r>
        <w:t>3.2 Suivi financier</w:t>
      </w:r>
    </w:p>
    <w:p>
      <w:r>
        <w:t>Le taux d'exécution budgétaire s'établit à 91,7 % sur la période (24,11 M USD décaissés pour 26,29 M USD prévus), un niveau solide et stable. Les frais de gestion représentent en moyenne 20 % de la valeur de l'assistance chaque année depuis 2021 (20,2 % en 2021, 20,05 % en 2025), démontrant une bonne maîtrise des coûts de structure sur la durée.</w:t>
      </w:r>
    </w:p>
    <w:p>
      <w:r>
        <w:t>Un point de vigilance concerne le circuit de décaissement : sur 15 000 décaissements enregistrés, 1 070 restent « En Attente » et 470 ont été « Rejetés », soit 10,3 % du volume total qui mérite une revue des causes de blocage ou de rejet.</w:t>
      </w:r>
    </w:p>
    <w:p>
      <w:pPr>
        <w:pStyle w:val="Heading2"/>
      </w:pPr>
      <w:r>
        <w:t>3.3 Opérations &amp; chaîne d'approvisionnement</w:t>
      </w:r>
    </w:p>
    <w:p>
      <w:r>
        <w:t>Sur 15 000 activités enregistrées, 82,2 % ont été réalisées, 8,1 % reportées et 5,7 % annulées. Le délai moyen de livraison est de 3,3 jours, avec 12,1 % des livraisons en retard — un niveau globalement maîtrisé mais perfectible.</w:t>
      </w:r>
    </w:p>
    <w:p>
      <w:r>
        <w:t>Le signal le plus préoccupant concerne les stocks : 47 mouvements ont été classés en « Rupture Imminente », touchant 11 des 12 bases terrain — un risque de rupture quasi généralisé sur le réseau logistique. Le taux de couverture moyen des besoins par intervention est de 70 %, pour une satisfaction moyenne des bénéficiaires de 74,9/100.</w:t>
      </w:r>
    </w:p>
    <w:p>
      <w:pPr>
        <w:pStyle w:val="Heading2"/>
      </w:pPr>
      <w:r>
        <w:t>3.4 Redevabilité &amp; qualité</w:t>
      </w:r>
    </w:p>
    <w:p>
      <w:r>
        <w:t>2 000 plaintes ont été enregistrées sur la période, dont 56,7 % résolues, 19,8 % encore en cours de traitement et 8,1 % escaladées. Les trois motifs les plus fréquents sont le ciblage/éligibilité contestée (218 cas), la discrimination perçue dans le ciblage (210 cas) et les retards de distribution (209 cas) — un signal fort sur la perception de l'équité du ciblage par les communautés. 56,7 % des plaintes ont donné lieu à une mesure corrective, et 36 657 USD de compensations ont été versées.</w:t>
      </w:r>
    </w:p>
    <w:p>
      <w:r>
        <w:t>Les 60 partenaires de mise en œuvre affichent un score de performance moyen de 0,80 sur 1, avec un délai moyen de rapportage de 18,1 jours ; 55 partenaires sur 60 sont actuellement actifs.</w:t>
      </w:r>
    </w:p>
    <w:p>
      <w:r>
        <w:br w:type="page"/>
      </w:r>
    </w:p>
    <w:p>
      <w:pPr>
        <w:pStyle w:val="Heading1"/>
      </w:pPr>
      <w:r>
        <w:t>4. Recommandations</w:t>
      </w:r>
    </w:p>
    <w:p>
      <w:r>
        <w:t>Les recommandations ci-dessous sont priorisées en fonction de l'urgence et de l'impact attendu sur la performance du programme.</w:t>
      </w:r>
    </w:p>
    <w:p>
      <w:r>
        <w:rPr>
          <w:b/>
          <w:color w:val="D6483F"/>
          <w:sz w:val="18"/>
        </w:rPr>
        <w:t xml:space="preserve">PRIORITAIRE  </w:t>
      </w:r>
      <w:r>
        <w:rPr>
          <w:b/>
          <w:color w:val="25231F"/>
          <w:sz w:val="22"/>
        </w:rPr>
        <w:t>1. Auditer l'équité et la transparence du ciblage</w:t>
      </w:r>
    </w:p>
    <w:p>
      <w:pPr>
        <w:spacing w:after="240"/>
      </w:pPr>
      <w:r>
        <w:t>21,8 % des plaintes portent sur l'éligibilité/le ciblage contesté et 10,5 % sur une discrimination perçue dans le ciblage. Recommandation : conduire un audit des critères de sélection par base, renforcer la communication communautaire sur les critères d'éligibilité, et mettre en place un retour systématique aux plaignants sur les décisions de ciblage.</w:t>
      </w:r>
    </w:p>
    <w:p>
      <w:r>
        <w:rPr>
          <w:b/>
          <w:color w:val="D6483F"/>
          <w:sz w:val="18"/>
        </w:rPr>
        <w:t xml:space="preserve">PRIORITAIRE  </w:t>
      </w:r>
      <w:r>
        <w:rPr>
          <w:b/>
          <w:color w:val="25231F"/>
          <w:sz w:val="22"/>
        </w:rPr>
        <w:t>2. Sécuriser la chaîne d'approvisionnement</w:t>
      </w:r>
    </w:p>
    <w:p>
      <w:pPr>
        <w:spacing w:after="240"/>
      </w:pPr>
      <w:r>
        <w:t>11 bases sur 12 ont connu au moins un mouvement de stock en rupture imminente. Recommandation : réviser les seuils de stock minimum/maximum par intervention, raccourcir les délais de commande auprès des partenaires d'approvisionnement et mettre en place une alerte automatisée sur le tableau de bord avant que le seuil critique ne soit atteint.</w:t>
      </w:r>
    </w:p>
    <w:p>
      <w:r>
        <w:rPr>
          <w:b/>
          <w:color w:val="D6483F"/>
          <w:sz w:val="18"/>
        </w:rPr>
        <w:t xml:space="preserve">PRIORITAIRE  </w:t>
      </w:r>
      <w:r>
        <w:rPr>
          <w:b/>
          <w:color w:val="25231F"/>
          <w:sz w:val="22"/>
        </w:rPr>
        <w:t>3. Cibler le pilotage du cadre logique au niveau des objectifs individuels</w:t>
      </w:r>
    </w:p>
    <w:p>
      <w:pPr>
        <w:spacing w:after="240"/>
      </w:pPr>
      <w:r>
        <w:t>Le taux de réalisation global (70,6 %) masque le fait que 42,8 % des lignes d'objectifs individuelles sont « Non Atteint ». Recommandation : identifier les bases et secteurs concentrant la sous-performance pour une réallocation ciblée des ressources, plutôt que de piloter uniquement sur l'indicateur agrégé.</w:t>
      </w:r>
    </w:p>
    <w:p>
      <w:r>
        <w:rPr>
          <w:b/>
          <w:color w:val="E8A33D"/>
          <w:sz w:val="18"/>
        </w:rPr>
        <w:t xml:space="preserve">MOYEN TERME  </w:t>
      </w:r>
      <w:r>
        <w:rPr>
          <w:b/>
          <w:color w:val="25231F"/>
          <w:sz w:val="22"/>
        </w:rPr>
        <w:t>4. Fiabiliser le circuit de décaissement</w:t>
      </w:r>
    </w:p>
    <w:p>
      <w:pPr>
        <w:spacing w:after="240"/>
      </w:pPr>
      <w:r>
        <w:t>10,3 % des décaissements restent en attente ou ont été rejetés. Recommandation : analyser les causes de rejet par bailleur/base et réduire les délais de validation financière.</w:t>
      </w:r>
    </w:p>
    <w:p>
      <w:r>
        <w:rPr>
          <w:b/>
          <w:color w:val="E8A33D"/>
          <w:sz w:val="18"/>
        </w:rPr>
        <w:t xml:space="preserve">MOYEN TERME  </w:t>
      </w:r>
      <w:r>
        <w:rPr>
          <w:b/>
          <w:color w:val="25231F"/>
          <w:sz w:val="22"/>
        </w:rPr>
        <w:t>5. Accompagner les partenaires de mise en œuvre les moins performants</w:t>
      </w:r>
    </w:p>
    <w:p>
      <w:pPr>
        <w:spacing w:after="240"/>
      </w:pPr>
      <w:r>
        <w:t>Le score de performance moyen des partenaires est de 0,80/1 avec un délai moyen de rapportage de 18,1 jours. Recommandation : mettre en place un plan d'accompagnement pour les partenaires sous le score moyen et clarifier les délais de rapportage attendus dans les accords de partenariat.</w:t>
      </w:r>
    </w:p>
    <w:p>
      <w:r>
        <w:rPr>
          <w:b/>
          <w:color w:val="E8A33D"/>
          <w:sz w:val="18"/>
        </w:rPr>
        <w:t xml:space="preserve">MOYEN TERME  </w:t>
      </w:r>
      <w:r>
        <w:rPr>
          <w:b/>
          <w:color w:val="25231F"/>
          <w:sz w:val="22"/>
        </w:rPr>
        <w:t>6. Renforcer la couverture des besoins dans les secteurs les plus sollicités</w:t>
      </w:r>
    </w:p>
    <w:p>
      <w:pPr>
        <w:spacing w:after="240"/>
      </w:pPr>
      <w:r>
        <w:t>Le taux de couverture moyen des besoins est de 70 % ; les secteurs Nutrition, Moyens de Subsistance et EHA concentrent le plus grand nombre d'interventions. Recommandation : prioriser le renforcement de capacité dans ces trois secteurs lors du prochain cycle de programmation.</w:t>
      </w:r>
    </w:p>
    <w:p>
      <w:r>
        <w:rPr>
          <w:b/>
          <w:color w:val="1AAB40"/>
          <w:sz w:val="18"/>
        </w:rPr>
        <w:t xml:space="preserve">À MAINTENIR  </w:t>
      </w:r>
      <w:r>
        <w:rPr>
          <w:b/>
          <w:color w:val="25231F"/>
          <w:sz w:val="22"/>
        </w:rPr>
        <w:t>7. Poursuivre la discipline budgétaire actuelle</w:t>
      </w:r>
    </w:p>
    <w:p>
      <w:pPr>
        <w:spacing w:after="240"/>
      </w:pPr>
      <w:r>
        <w:t>Le taux d'exécution budgétaire (91,7 %) et les frais de gestion stables (~20 % depuis 2021) témoignent d'une bonne gestion financière. Recommandation : documenter cette performance dans les rapports bailleurs comme preuve de fiabilité de gestion.</w:t>
      </w:r>
    </w:p>
    <w:p>
      <w:r>
        <w:rPr>
          <w:b/>
          <w:color w:val="1AAB40"/>
          <w:sz w:val="18"/>
        </w:rPr>
        <w:t xml:space="preserve">À MAINTENIR  </w:t>
      </w:r>
      <w:r>
        <w:rPr>
          <w:b/>
          <w:color w:val="25231F"/>
          <w:sz w:val="22"/>
        </w:rPr>
        <w:t>8. Maintenir un mécanisme de plaintes actif et accessible</w:t>
      </w:r>
    </w:p>
    <w:p>
      <w:pPr>
        <w:spacing w:after="240"/>
      </w:pPr>
      <w:r>
        <w:t>56,7 % des plaintes ont été résolues avec mesures correctives. Recommandation : maintenir l'accessibilité du mécanisme (Ligne Verte, boîtes à suggestions, comités communautaires) tout en renforçant les capacités de traitement pour réduire le taux de plaintes « en cours » (19,8 %).</w:t>
      </w:r>
    </w:p>
    <w:p>
      <w:pPr>
        <w:pBdr>
          <w:bottom w:val="single" w:sz="6" w:space="1" w:color="E4DFD5"/>
        </w:pBdr>
      </w:pPr>
    </w:p>
    <w:p>
      <w:r>
        <w:rPr>
          <w:i/>
          <w:color w:val="5B564D"/>
          <w:sz w:val="17"/>
        </w:rPr>
        <w:t>Source : Base de données MEAL Faso Espoir International, 2021-2025. Tableau de bord Power BI — Base_MEAL.pbip. Document confidentiel à usage interne.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color w:val="2523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bCs/>
      <w:color w:val="0072B2"/>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Semibold" w:hAnsi="Segoe UI Semibold"/>
      <w:b/>
      <w:bCs/>
      <w:color w:val="0072B2"/>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egoe UI Semibold" w:hAnsi="Segoe UI Semibold"/>
      <w:b/>
      <w:bCs/>
      <w:color w:val="0072B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