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0"/>
          <w:szCs w:val="30"/>
        </w:rPr>
        <w:t xml:space="preserve">ANALYSE AVANCÉE ET AIDE À LA DÉCISION</w:t>
      </w:r>
    </w:p>
    <w:p>
      <w:pPr>
        <w:spacing w:after="260"/>
        <w:jc w:val="center"/>
      </w:pPr>
      <w:r>
        <w:rPr>
          <w:i/>
          <w:iCs/>
          <w:color w:val="000000"/>
          <w:sz w:val="22"/>
          <w:szCs w:val="22"/>
        </w:rPr>
        <w:t xml:space="preserve">Projet HealthConnect — Track Data Analytics — Semaine 6</w:t>
      </w:r>
    </w:p>
    <w:p>
      <w:pPr>
        <w:pStyle w:val="Heading1"/>
        <w:spacing w:after="140" w:before="280"/>
      </w:pPr>
      <w:r>
        <w:rPr>
          <w:b/>
          <w:bCs/>
          <w:color w:val="000000"/>
        </w:rPr>
        <w:t xml:space="preserve">Transition depuis la Semaine 5</w:t>
      </w:r>
    </w:p>
    <w:p>
      <w:pPr>
        <w:spacing w:after="160"/>
        <w:jc w:val="both"/>
      </w:pPr>
      <w:r>
        <w:rPr>
          <w:color w:val="000000"/>
          <w:sz w:val="21"/>
          <w:szCs w:val="21"/>
        </w:rPr>
        <w:t xml:space="preserve">La Semaine 5 a produit un premier rapport analytique complet : préparation des données, exploration, cinq KPI calculés et un dashboard Power BI présentant un taux global de no-show de 48,46 %. Le résultat le plus marquant restait la combinaison entre délai de réservation et historique de no-show, sans que leur effet cumulé ait été précisément quantifié.</w:t>
      </w:r>
    </w:p>
    <w:p>
      <w:pPr>
        <w:spacing w:after="160"/>
        <w:jc w:val="both"/>
      </w:pPr>
      <w:r>
        <w:rPr>
          <w:color w:val="000000"/>
          <w:sz w:val="21"/>
          <w:szCs w:val="21"/>
        </w:rPr>
        <w:t xml:space="preserve">La principale limite identifiée en Semaine 5 concernait l'absence de vérification statistique poussée : les écarts observés étaient de simples taux croisés, sans contrôle du poids réel de chaque combinaison de facteurs. Cette semaine reprend directement ce point, avec une collaboration simulée vers le track Data Science pour transformer ces constats en base de travail pour un futur modèle prédictif.</w:t>
      </w:r>
    </w:p>
    <w:p>
      <w:pPr>
        <w:pStyle w:val="Heading1"/>
        <w:spacing w:after="140" w:before="280"/>
      </w:pPr>
      <w:r>
        <w:rPr>
          <w:b/>
          <w:bCs/>
          <w:color w:val="000000"/>
        </w:rPr>
        <w:t xml:space="preserve">Analyse approfondie et résultats validés</w:t>
      </w:r>
    </w:p>
    <w:p>
      <w:pPr>
        <w:spacing w:after="160"/>
        <w:jc w:val="both"/>
      </w:pPr>
      <w:r>
        <w:rPr>
          <w:color w:val="000000"/>
          <w:sz w:val="21"/>
          <w:szCs w:val="21"/>
        </w:rPr>
        <w:t xml:space="preserve">L'approfondissement a porté sur le croisement du délai de réservation, de l'historique de no-show et de la distance à la clinique, avec vérification systématique des effectifs derrière chaque taux.</w:t>
      </w:r>
    </w:p>
    <w:p>
      <w:pPr>
        <w:spacing w:after="160"/>
        <w:jc w:val="both"/>
      </w:pPr>
      <w:r>
        <w:rPr>
          <w:color w:val="000000"/>
          <w:sz w:val="21"/>
          <w:szCs w:val="21"/>
        </w:rPr>
        <w:t xml:space="preserve">Le résultat central : les rendez-vous pris à plus de 30 jours affichent un taux de no-show de 55,18 % même chez les patients sans aucun antécédent (n ≈ 1 410), soit près de 7 points au-dessus de la moyenne globale. Le délai de réservation agit donc comme un facteur de risque indépendant, et pas seulement comme un révélateur d'un profil de patient déjà à risque.</w:t>
      </w:r>
    </w:p>
    <w:p>
      <w:pPr>
        <w:spacing w:after="160"/>
        <w:jc w:val="both"/>
      </w:pPr>
      <w:r>
        <w:rPr>
          <w:color w:val="000000"/>
          <w:sz w:val="21"/>
          <w:szCs w:val="21"/>
        </w:rPr>
        <w:t xml:space="preserve">L'effet se renforce nettement lorsque le délai se combine à un historique de récidive : le segment associant un délai supérieur à 30 jours et au moins 2 antécédents de no-show atteint un taux de 72,96 % (n ≈ 233), soit près de 25 points au-dessus de la moyenne. C'est le résultat le plus actionnable de cette analyse.</w:t>
      </w:r>
    </w:p>
    <w:p>
      <w:pPr>
        <w:spacing w:after="160"/>
        <w:jc w:val="both"/>
      </w:pPr>
      <w:r>
        <w:rPr>
          <w:color w:val="000000"/>
          <w:sz w:val="21"/>
          <w:szCs w:val="21"/>
        </w:rPr>
        <w:t xml:space="preserve">Certaines combinaisons affichent des taux de 100 %, notamment pour les patients à plus de 20 km avec 4 ou 5 antécédents. Ces valeurs reposent sur des effectifs très faibles (1 à 4 cas) et ne doivent pas être généralisées ni citées comme des résultats fiables.</w:t>
      </w:r>
    </w:p>
    <w:p>
      <w:pPr>
        <w:pStyle w:val="Heading1"/>
        <w:spacing w:after="140" w:before="280"/>
      </w:pPr>
      <w:r>
        <w:rPr>
          <w:b/>
          <w:bCs/>
          <w:color w:val="000000"/>
        </w:rPr>
        <w:t xml:space="preserve">KPI validés et affinés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c>
          <w:tcPr>
            <w:tcW w:type="dxa" w:w="2400"/>
            <w:shd w:fill="EDEDED" w:val="clear"/>
            <w:tcMar>
              <w:top w:type="dxa" w:w="90"/>
              <w:left w:type="dxa" w:w="90"/>
              <w:bottom w:type="dxa" w:w="90"/>
              <w:right w:type="dxa" w:w="90"/>
            </w:tcMar>
            <w:vAlign w:val="center"/>
          </w:tcPr>
          <w:p>
            <w:r>
              <w:rPr>
                <w:b/>
                <w:bCs/>
                <w:color w:val="000000"/>
                <w:sz w:val="18"/>
                <w:szCs w:val="18"/>
              </w:rPr>
              <w:t xml:space="preserve">KPI</w:t>
            </w:r>
          </w:p>
        </w:tc>
        <w:tc>
          <w:tcPr>
            <w:tcW w:type="dxa" w:w="3200"/>
            <w:shd w:fill="EDEDED" w:val="clear"/>
            <w:tcMar>
              <w:top w:type="dxa" w:w="90"/>
              <w:left w:type="dxa" w:w="90"/>
              <w:bottom w:type="dxa" w:w="90"/>
              <w:right w:type="dxa" w:w="90"/>
            </w:tcMar>
            <w:vAlign w:val="center"/>
          </w:tcPr>
          <w:p>
            <w:r>
              <w:rPr>
                <w:b/>
                <w:bCs/>
                <w:color w:val="000000"/>
                <w:sz w:val="18"/>
                <w:szCs w:val="18"/>
              </w:rPr>
              <w:t xml:space="preserve">Résultat</w:t>
            </w:r>
          </w:p>
        </w:tc>
        <w:tc>
          <w:tcPr>
            <w:tcW w:type="dxa" w:w="3700"/>
            <w:shd w:fill="EDEDED" w:val="clear"/>
            <w:tcMar>
              <w:top w:type="dxa" w:w="90"/>
              <w:left w:type="dxa" w:w="90"/>
              <w:bottom w:type="dxa" w:w="90"/>
              <w:right w:type="dxa" w:w="90"/>
            </w:tcMar>
            <w:vAlign w:val="center"/>
          </w:tcPr>
          <w:p>
            <w:r>
              <w:rPr>
                <w:b/>
                <w:bCs/>
                <w:color w:val="000000"/>
                <w:sz w:val="18"/>
                <w:szCs w:val="18"/>
              </w:rPr>
              <w:t xml:space="preserve">Statut / observation</w:t>
            </w:r>
          </w:p>
        </w:tc>
      </w:tr>
      <w:tr>
        <w:tc>
          <w:tcPr>
            <w:tcW w:type="dxa" w:w="2400"/>
            <w:tcMar>
              <w:top w:type="dxa" w:w="80"/>
              <w:left w:type="dxa" w:w="90"/>
              <w:bottom w:type="dxa" w:w="80"/>
              <w:right w:type="dxa" w:w="90"/>
            </w:tcMar>
            <w:vAlign w:val="center"/>
          </w:tcPr>
          <w:p>
            <w:r>
              <w:rPr>
                <w:b/>
                <w:bCs/>
                <w:color w:val="000000"/>
                <w:sz w:val="18"/>
                <w:szCs w:val="18"/>
              </w:rPr>
              <w:t xml:space="preserve">Taux global de no-show</w:t>
            </w:r>
          </w:p>
        </w:tc>
        <w:tc>
          <w:tcPr>
            <w:tcW w:type="dxa" w:w="3200"/>
            <w:tcMar>
              <w:top w:type="dxa" w:w="80"/>
              <w:left w:type="dxa" w:w="90"/>
              <w:bottom w:type="dxa" w:w="80"/>
              <w:right w:type="dxa" w:w="90"/>
            </w:tcMar>
            <w:vAlign w:val="center"/>
          </w:tcPr>
          <w:p>
            <w:r>
              <w:rPr>
                <w:b w:val="false"/>
                <w:bCs w:val="false"/>
                <w:color w:val="000000"/>
                <w:sz w:val="18"/>
                <w:szCs w:val="18"/>
              </w:rPr>
              <w:t xml:space="preserve">48,46 %</w:t>
            </w:r>
          </w:p>
        </w:tc>
        <w:tc>
          <w:tcPr>
            <w:tcW w:type="dxa" w:w="3700"/>
            <w:tcMar>
              <w:top w:type="dxa" w:w="80"/>
              <w:left w:type="dxa" w:w="90"/>
              <w:bottom w:type="dxa" w:w="80"/>
              <w:right w:type="dxa" w:w="90"/>
            </w:tcMar>
            <w:vAlign w:val="center"/>
          </w:tcPr>
          <w:p>
            <w:r>
              <w:rPr>
                <w:b w:val="false"/>
                <w:bCs w:val="false"/>
                <w:color w:val="000000"/>
                <w:sz w:val="18"/>
                <w:szCs w:val="18"/>
              </w:rPr>
              <w:t xml:space="preserve">Confirmé stable, cohérent avec la Semaine 5</w:t>
            </w:r>
          </w:p>
        </w:tc>
      </w:tr>
      <w:tr>
        <w:tc>
          <w:tcPr>
            <w:tcW w:type="dxa" w:w="2400"/>
            <w:tcMar>
              <w:top w:type="dxa" w:w="80"/>
              <w:left w:type="dxa" w:w="90"/>
              <w:bottom w:type="dxa" w:w="80"/>
              <w:right w:type="dxa" w:w="90"/>
            </w:tcMar>
            <w:vAlign w:val="center"/>
          </w:tcPr>
          <w:p>
            <w:r>
              <w:rPr>
                <w:b/>
                <w:bCs/>
                <w:color w:val="000000"/>
                <w:sz w:val="18"/>
                <w:szCs w:val="18"/>
              </w:rPr>
              <w:t xml:space="preserve">Taux par délai de réservation</w:t>
            </w:r>
          </w:p>
        </w:tc>
        <w:tc>
          <w:tcPr>
            <w:tcW w:type="dxa" w:w="3200"/>
            <w:tcMar>
              <w:top w:type="dxa" w:w="80"/>
              <w:left w:type="dxa" w:w="90"/>
              <w:bottom w:type="dxa" w:w="80"/>
              <w:right w:type="dxa" w:w="90"/>
            </w:tcMar>
            <w:vAlign w:val="center"/>
          </w:tcPr>
          <w:p>
            <w:r>
              <w:rPr>
                <w:b w:val="false"/>
                <w:bCs w:val="false"/>
                <w:color w:val="000000"/>
                <w:sz w:val="18"/>
                <w:szCs w:val="18"/>
              </w:rPr>
              <w:t xml:space="preserve">55,18 % (+30j, sans antécédent) contre 24,8 % (0-3j)</w:t>
            </w:r>
          </w:p>
        </w:tc>
        <w:tc>
          <w:tcPr>
            <w:tcW w:type="dxa" w:w="3700"/>
            <w:tcMar>
              <w:top w:type="dxa" w:w="80"/>
              <w:left w:type="dxa" w:w="90"/>
              <w:bottom w:type="dxa" w:w="80"/>
              <w:right w:type="dxa" w:w="90"/>
            </w:tcMar>
            <w:vAlign w:val="center"/>
          </w:tcPr>
          <w:p>
            <w:r>
              <w:rPr>
                <w:b w:val="false"/>
                <w:bCs w:val="false"/>
                <w:color w:val="000000"/>
                <w:sz w:val="18"/>
                <w:szCs w:val="18"/>
              </w:rPr>
              <w:t xml:space="preserve">Le délai agit comme facteur indépendant, même sans historique de récidive</w:t>
            </w:r>
          </w:p>
        </w:tc>
      </w:tr>
      <w:tr>
        <w:tc>
          <w:tcPr>
            <w:tcW w:type="dxa" w:w="2400"/>
            <w:tcMar>
              <w:top w:type="dxa" w:w="80"/>
              <w:left w:type="dxa" w:w="90"/>
              <w:bottom w:type="dxa" w:w="80"/>
              <w:right w:type="dxa" w:w="90"/>
            </w:tcMar>
            <w:vAlign w:val="center"/>
          </w:tcPr>
          <w:p>
            <w:r>
              <w:rPr>
                <w:b/>
                <w:bCs/>
                <w:color w:val="000000"/>
                <w:sz w:val="18"/>
                <w:szCs w:val="18"/>
              </w:rPr>
              <w:t xml:space="preserve">Taux de récidive</w:t>
            </w:r>
          </w:p>
        </w:tc>
        <w:tc>
          <w:tcPr>
            <w:tcW w:type="dxa" w:w="3200"/>
            <w:tcMar>
              <w:top w:type="dxa" w:w="80"/>
              <w:left w:type="dxa" w:w="90"/>
              <w:bottom w:type="dxa" w:w="80"/>
              <w:right w:type="dxa" w:w="90"/>
            </w:tcMar>
            <w:vAlign w:val="center"/>
          </w:tcPr>
          <w:p>
            <w:r>
              <w:rPr>
                <w:b w:val="false"/>
                <w:bCs w:val="false"/>
                <w:color w:val="000000"/>
                <w:sz w:val="18"/>
                <w:szCs w:val="18"/>
              </w:rPr>
              <w:t xml:space="preserve">43,5 % (0 antécédent) à 68,8 % (3+ antécédents)</w:t>
            </w:r>
          </w:p>
        </w:tc>
        <w:tc>
          <w:tcPr>
            <w:tcW w:type="dxa" w:w="3700"/>
            <w:tcMar>
              <w:top w:type="dxa" w:w="80"/>
              <w:left w:type="dxa" w:w="90"/>
              <w:bottom w:type="dxa" w:w="80"/>
              <w:right w:type="dxa" w:w="90"/>
            </w:tcMar>
            <w:vAlign w:val="center"/>
          </w:tcPr>
          <w:p>
            <w:r>
              <w:rPr>
                <w:b w:val="false"/>
                <w:bCs w:val="false"/>
                <w:color w:val="000000"/>
                <w:sz w:val="18"/>
                <w:szCs w:val="18"/>
              </w:rPr>
              <w:t xml:space="preserve">Confirmé, s'accentue quand combiné au délai</w:t>
            </w:r>
          </w:p>
        </w:tc>
      </w:tr>
      <w:tr>
        <w:tc>
          <w:tcPr>
            <w:tcW w:type="dxa" w:w="2400"/>
            <w:tcMar>
              <w:top w:type="dxa" w:w="80"/>
              <w:left w:type="dxa" w:w="90"/>
              <w:bottom w:type="dxa" w:w="80"/>
              <w:right w:type="dxa" w:w="90"/>
            </w:tcMar>
            <w:vAlign w:val="center"/>
          </w:tcPr>
          <w:p>
            <w:r>
              <w:rPr>
                <w:b/>
                <w:bCs/>
                <w:color w:val="000000"/>
                <w:sz w:val="18"/>
                <w:szCs w:val="18"/>
              </w:rPr>
              <w:t xml:space="preserve">Taux par distance</w:t>
            </w:r>
          </w:p>
        </w:tc>
        <w:tc>
          <w:tcPr>
            <w:tcW w:type="dxa" w:w="3200"/>
            <w:tcMar>
              <w:top w:type="dxa" w:w="80"/>
              <w:left w:type="dxa" w:w="90"/>
              <w:bottom w:type="dxa" w:w="80"/>
              <w:right w:type="dxa" w:w="90"/>
            </w:tcMar>
            <w:vAlign w:val="center"/>
          </w:tcPr>
          <w:p>
            <w:r>
              <w:rPr>
                <w:b w:val="false"/>
                <w:bCs w:val="false"/>
                <w:color w:val="000000"/>
                <w:sz w:val="18"/>
                <w:szCs w:val="18"/>
              </w:rPr>
              <w:t xml:space="preserve">46,5 % (0-10km) à 57,8 % (20km+)</w:t>
            </w:r>
          </w:p>
        </w:tc>
        <w:tc>
          <w:tcPr>
            <w:tcW w:type="dxa" w:w="3700"/>
            <w:tcMar>
              <w:top w:type="dxa" w:w="80"/>
              <w:left w:type="dxa" w:w="90"/>
              <w:bottom w:type="dxa" w:w="80"/>
              <w:right w:type="dxa" w:w="90"/>
            </w:tcMar>
            <w:vAlign w:val="center"/>
          </w:tcPr>
          <w:p>
            <w:r>
              <w:rPr>
                <w:b w:val="false"/>
                <w:bCs w:val="false"/>
                <w:color w:val="000000"/>
                <w:sz w:val="18"/>
                <w:szCs w:val="18"/>
              </w:rPr>
              <w:t xml:space="preserve">Effet secondaire réel, mais certaines combinaisons extrêmes reposent sur trop peu de cas</w:t>
            </w:r>
          </w:p>
        </w:tc>
      </w:tr>
      <w:tr>
        <w:tc>
          <w:tcPr>
            <w:tcW w:type="dxa" w:w="2400"/>
            <w:tcMar>
              <w:top w:type="dxa" w:w="80"/>
              <w:left w:type="dxa" w:w="90"/>
              <w:bottom w:type="dxa" w:w="80"/>
              <w:right w:type="dxa" w:w="90"/>
            </w:tcMar>
            <w:vAlign w:val="center"/>
          </w:tcPr>
          <w:p>
            <w:r>
              <w:rPr>
                <w:b/>
                <w:bCs/>
                <w:color w:val="000000"/>
                <w:sz w:val="18"/>
                <w:szCs w:val="18"/>
              </w:rPr>
              <w:t xml:space="preserve">Segment à haut risque (nouveau)</w:t>
            </w:r>
          </w:p>
        </w:tc>
        <w:tc>
          <w:tcPr>
            <w:tcW w:type="dxa" w:w="3200"/>
            <w:tcMar>
              <w:top w:type="dxa" w:w="80"/>
              <w:left w:type="dxa" w:w="90"/>
              <w:bottom w:type="dxa" w:w="80"/>
              <w:right w:type="dxa" w:w="90"/>
            </w:tcMar>
            <w:vAlign w:val="center"/>
          </w:tcPr>
          <w:p>
            <w:r>
              <w:rPr>
                <w:b w:val="false"/>
                <w:bCs w:val="false"/>
                <w:color w:val="000000"/>
                <w:sz w:val="18"/>
                <w:szCs w:val="18"/>
              </w:rPr>
              <w:t xml:space="preserve">72,96 % (délai +30j et 2+ antécédents, n ≈ 233)</w:t>
            </w:r>
          </w:p>
        </w:tc>
        <w:tc>
          <w:tcPr>
            <w:tcW w:type="dxa" w:w="3700"/>
            <w:tcMar>
              <w:top w:type="dxa" w:w="80"/>
              <w:left w:type="dxa" w:w="90"/>
              <w:bottom w:type="dxa" w:w="80"/>
              <w:right w:type="dxa" w:w="90"/>
            </w:tcMar>
            <w:vAlign w:val="center"/>
          </w:tcPr>
          <w:p>
            <w:r>
              <w:rPr>
                <w:b w:val="false"/>
                <w:bCs w:val="false"/>
                <w:color w:val="000000"/>
                <w:sz w:val="18"/>
                <w:szCs w:val="18"/>
              </w:rPr>
              <w:t xml:space="preserve">Le résultat le plus actionnable de l'analyse approfondie</w:t>
            </w:r>
          </w:p>
        </w:tc>
      </w:tr>
    </w:tbl>
    <w:p>
      <w:pPr>
        <w:pStyle w:val="Heading1"/>
        <w:spacing w:after="140" w:before="280"/>
      </w:pPr>
      <w:r>
        <w:rPr>
          <w:b/>
          <w:bCs/>
          <w:color w:val="000000"/>
        </w:rPr>
        <w:t xml:space="preserve">Dashboard mis à jour</w:t>
      </w:r>
    </w:p>
    <w:p>
      <w:pPr>
        <w:spacing w:after="160"/>
        <w:jc w:val="both"/>
      </w:pPr>
      <w:r>
        <w:rPr>
          <w:color w:val="000000"/>
          <w:sz w:val="21"/>
          <w:szCs w:val="21"/>
        </w:rPr>
        <w:t xml:space="preserve">Le dashboard Power BI de la Semaine 5 a été complété, sans être reconstruit, par une matrice croisée délai de réservation × historique de no-show, une carte KPI dédiée au segment à haut risque (72,96 %), et une note de prudence méthodologique concernant les combinaisons à faible effectif.</w:t>
      </w:r>
    </w:p>
    <w:p>
      <w:pPr>
        <w:pStyle w:val="Heading1"/>
        <w:spacing w:after="140" w:before="280"/>
      </w:pPr>
      <w:r>
        <w:rPr>
          <w:b/>
          <w:bCs/>
          <w:color w:val="000000"/>
        </w:rPr>
        <w:t xml:space="preserve">Recommandations métier</w:t>
      </w:r>
    </w:p>
    <w:p>
      <w:pPr>
        <w:pStyle w:val="ListParagraph"/>
        <w:numPr>
          <w:ilvl w:val="0"/>
          <w:numId w:val="2"/>
        </w:numPr>
        <w:spacing w:after="100"/>
        <w:jc w:val="both"/>
      </w:pPr>
      <w:r>
        <w:rPr>
          <w:color w:val="000000"/>
          <w:sz w:val="21"/>
          <w:szCs w:val="21"/>
        </w:rPr>
        <w:t xml:space="preserve">Prioriser un rappel renforcé (appel plutôt que SMS) pour les rendez-vous réservés plus de 30 jours à l'avance, quel que soit l'historique du patient.</w:t>
      </w:r>
    </w:p>
    <w:p>
      <w:pPr>
        <w:pStyle w:val="ListParagraph"/>
        <w:numPr>
          <w:ilvl w:val="0"/>
          <w:numId w:val="2"/>
        </w:numPr>
        <w:spacing w:after="100"/>
        <w:jc w:val="both"/>
      </w:pPr>
      <w:r>
        <w:rPr>
          <w:color w:val="000000"/>
          <w:sz w:val="21"/>
          <w:szCs w:val="21"/>
        </w:rPr>
        <w:t xml:space="preserve">Mettre en place un suivi personnalisé pour le segment à haut risque (délai long et historique de récidive), qui concentre le taux de no-show le plus élevé observé.</w:t>
      </w:r>
    </w:p>
    <w:p>
      <w:pPr>
        <w:pStyle w:val="ListParagraph"/>
        <w:numPr>
          <w:ilvl w:val="0"/>
          <w:numId w:val="2"/>
        </w:numPr>
        <w:spacing w:after="100"/>
        <w:jc w:val="both"/>
      </w:pPr>
      <w:r>
        <w:rPr>
          <w:color w:val="000000"/>
          <w:sz w:val="21"/>
          <w:szCs w:val="21"/>
        </w:rPr>
        <w:t xml:space="preserve">Ne pas fonder de décision opérationnelle sur les combinaisons à très faible effectif (distance élevée combinée à un historique important), faute de preuve statistique suffisante.</w:t>
      </w:r>
    </w:p>
    <w:p>
      <w:pPr>
        <w:pStyle w:val="Heading1"/>
        <w:spacing w:after="140" w:before="280"/>
      </w:pPr>
      <w:r>
        <w:rPr>
          <w:b/>
          <w:bCs/>
          <w:color w:val="000000"/>
        </w:rPr>
        <w:t xml:space="preserve">Limites des données</w:t>
      </w:r>
    </w:p>
    <w:p>
      <w:pPr>
        <w:pStyle w:val="ListParagraph"/>
        <w:numPr>
          <w:ilvl w:val="0"/>
          <w:numId w:val="2"/>
        </w:numPr>
        <w:spacing w:after="100"/>
        <w:jc w:val="both"/>
      </w:pPr>
      <w:r>
        <w:rPr>
          <w:color w:val="000000"/>
          <w:sz w:val="21"/>
          <w:szCs w:val="21"/>
        </w:rPr>
        <w:t xml:space="preserve">Certaines combinaisons de facteurs reposent sur un nombre de cas trop faible pour être généralisées (1 à 4 rendez-vous).</w:t>
      </w:r>
    </w:p>
    <w:p>
      <w:pPr>
        <w:pStyle w:val="ListParagraph"/>
        <w:numPr>
          <w:ilvl w:val="0"/>
          <w:numId w:val="2"/>
        </w:numPr>
        <w:spacing w:after="100"/>
        <w:jc w:val="both"/>
      </w:pPr>
      <w:r>
        <w:rPr>
          <w:color w:val="000000"/>
          <w:sz w:val="21"/>
          <w:szCs w:val="21"/>
        </w:rPr>
        <w:t xml:space="preserve">Les taux croisés mesurent une association, pas une preuve de cause à effet.</w:t>
      </w:r>
    </w:p>
    <w:p>
      <w:pPr>
        <w:pStyle w:val="ListParagraph"/>
        <w:numPr>
          <w:ilvl w:val="0"/>
          <w:numId w:val="2"/>
        </w:numPr>
        <w:spacing w:after="100"/>
        <w:jc w:val="both"/>
      </w:pPr>
      <w:r>
        <w:rPr>
          <w:color w:val="000000"/>
          <w:sz w:val="21"/>
          <w:szCs w:val="21"/>
        </w:rPr>
        <w:t xml:space="preserve">L'effet des rappels reste peu concluant dans ces données et mériterait un nouveau test, idéalement avec un plus grand volume de données ou une période d'observation plus longue.</w:t>
      </w:r>
    </w:p>
    <w:p>
      <w:pPr>
        <w:pStyle w:val="Heading1"/>
        <w:spacing w:after="140" w:before="280"/>
      </w:pPr>
      <w:r>
        <w:rPr>
          <w:b/>
          <w:bCs/>
          <w:color w:val="000000"/>
        </w:rPr>
        <w:t xml:space="preserve">Intégration inter-tracks</w:t>
      </w:r>
    </w:p>
    <w:p>
      <w:pPr>
        <w:spacing w:after="160"/>
        <w:jc w:val="both"/>
      </w:pPr>
      <w:r>
        <w:rPr>
          <w:color w:val="000000"/>
          <w:sz w:val="21"/>
          <w:szCs w:val="21"/>
        </w:rPr>
        <w:t xml:space="preserve">Conformément à l'exigence de la Semaine 6, les résultats ci-dessus ont été transmis à une perspective Data Science pour évaluer leur usage dans un futur modèle prédictif de no-show.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EDEDED" w:val="clear"/>
            <w:tcMar>
              <w:top w:type="dxa" w:w="90"/>
              <w:left w:type="dxa" w:w="90"/>
              <w:bottom w:type="dxa" w:w="90"/>
              <w:right w:type="dxa" w:w="90"/>
            </w:tcMar>
            <w:vAlign w:val="center"/>
          </w:tcPr>
          <w:p>
            <w:r>
              <w:rPr>
                <w:b/>
                <w:bCs/>
                <w:color w:val="000000"/>
                <w:sz w:val="18"/>
                <w:szCs w:val="18"/>
              </w:rPr>
              <w:t xml:space="preserve">Élément</w:t>
            </w:r>
          </w:p>
        </w:tc>
        <w:tc>
          <w:tcPr>
            <w:tcW w:type="dxa" w:w="6500"/>
            <w:shd w:fill="EDEDED" w:val="clear"/>
            <w:tcMar>
              <w:top w:type="dxa" w:w="90"/>
              <w:left w:type="dxa" w:w="90"/>
              <w:bottom w:type="dxa" w:w="90"/>
              <w:right w:type="dxa" w:w="90"/>
            </w:tcMar>
            <w:vAlign w:val="center"/>
          </w:tcPr>
          <w:p>
            <w:r>
              <w:rPr>
                <w:b/>
                <w:bCs/>
                <w:color w:val="000000"/>
                <w:sz w:val="18"/>
                <w:szCs w:val="18"/>
              </w:rPr>
              <w:t xml:space="preserve">Détail</w:t>
            </w:r>
          </w:p>
        </w:tc>
      </w:tr>
      <w:tr>
        <w:tc>
          <w:tcPr>
            <w:tcW w:type="dxa" w:w="2800"/>
            <w:tcMar>
              <w:top w:type="dxa" w:w="80"/>
              <w:left w:type="dxa" w:w="90"/>
              <w:bottom w:type="dxa" w:w="80"/>
              <w:right w:type="dxa" w:w="90"/>
            </w:tcMar>
            <w:vAlign w:val="center"/>
          </w:tcPr>
          <w:p>
            <w:r>
              <w:rPr>
                <w:b/>
                <w:bCs/>
                <w:color w:val="000000"/>
                <w:sz w:val="18"/>
                <w:szCs w:val="18"/>
              </w:rPr>
              <w:t xml:space="preserve">Track collaboré</w:t>
            </w:r>
          </w:p>
        </w:tc>
        <w:tc>
          <w:tcPr>
            <w:tcW w:type="dxa" w:w="6500"/>
            <w:tcMar>
              <w:top w:type="dxa" w:w="80"/>
              <w:left w:type="dxa" w:w="90"/>
              <w:bottom w:type="dxa" w:w="80"/>
              <w:right w:type="dxa" w:w="90"/>
            </w:tcMar>
            <w:vAlign w:val="center"/>
          </w:tcPr>
          <w:p>
            <w:r>
              <w:rPr>
                <w:b w:val="false"/>
                <w:bCs w:val="false"/>
                <w:color w:val="000000"/>
                <w:sz w:val="18"/>
                <w:szCs w:val="18"/>
              </w:rPr>
              <w:t xml:space="preserve">Data Science (rôle simulé, en l'absence de partenaire assigné sur ce track à ce stade du programme)</w:t>
            </w:r>
          </w:p>
        </w:tc>
      </w:tr>
      <w:tr>
        <w:tc>
          <w:tcPr>
            <w:tcW w:type="dxa" w:w="2800"/>
            <w:tcMar>
              <w:top w:type="dxa" w:w="80"/>
              <w:left w:type="dxa" w:w="90"/>
              <w:bottom w:type="dxa" w:w="80"/>
              <w:right w:type="dxa" w:w="90"/>
            </w:tcMar>
            <w:vAlign w:val="center"/>
          </w:tcPr>
          <w:p>
            <w:r>
              <w:rPr>
                <w:b/>
                <w:bCs/>
                <w:color w:val="000000"/>
                <w:sz w:val="18"/>
                <w:szCs w:val="18"/>
              </w:rPr>
              <w:t xml:space="preserve">Dépendance du projet</w:t>
            </w:r>
          </w:p>
        </w:tc>
        <w:tc>
          <w:tcPr>
            <w:tcW w:type="dxa" w:w="6500"/>
            <w:tcMar>
              <w:top w:type="dxa" w:w="80"/>
              <w:left w:type="dxa" w:w="90"/>
              <w:bottom w:type="dxa" w:w="80"/>
              <w:right w:type="dxa" w:w="90"/>
            </w:tcMar>
            <w:vAlign w:val="center"/>
          </w:tcPr>
          <w:p>
            <w:r>
              <w:rPr>
                <w:b w:val="false"/>
                <w:bCs w:val="false"/>
                <w:color w:val="000000"/>
                <w:sz w:val="18"/>
                <w:szCs w:val="18"/>
              </w:rPr>
              <w:t xml:space="preserve">Les analyses descriptives du track Data Analytics doivent alimenter les décisions de sélection de variables et de conception du futur modèle prédictif de no-show</w:t>
            </w:r>
          </w:p>
        </w:tc>
      </w:tr>
      <w:tr>
        <w:tc>
          <w:tcPr>
            <w:tcW w:type="dxa" w:w="2800"/>
            <w:tcMar>
              <w:top w:type="dxa" w:w="80"/>
              <w:left w:type="dxa" w:w="90"/>
              <w:bottom w:type="dxa" w:w="80"/>
              <w:right w:type="dxa" w:w="90"/>
            </w:tcMar>
            <w:vAlign w:val="center"/>
          </w:tcPr>
          <w:p>
            <w:r>
              <w:rPr>
                <w:b/>
                <w:bCs/>
                <w:color w:val="000000"/>
                <w:sz w:val="18"/>
                <w:szCs w:val="18"/>
              </w:rPr>
              <w:t xml:space="preserve">Reçu (côté Data Science)</w:t>
            </w:r>
          </w:p>
        </w:tc>
        <w:tc>
          <w:tcPr>
            <w:tcW w:type="dxa" w:w="6500"/>
            <w:tcMar>
              <w:top w:type="dxa" w:w="80"/>
              <w:left w:type="dxa" w:w="90"/>
              <w:bottom w:type="dxa" w:w="80"/>
              <w:right w:type="dxa" w:w="90"/>
            </w:tcMar>
            <w:vAlign w:val="center"/>
          </w:tcPr>
          <w:p>
            <w:r>
              <w:rPr>
                <w:b w:val="false"/>
                <w:bCs w:val="false"/>
                <w:color w:val="000000"/>
                <w:sz w:val="18"/>
                <w:szCs w:val="18"/>
              </w:rPr>
              <w:t xml:space="preserve">Résultats validés : délai de réservation et historique comme facteurs déterminants, effet cumulatif du segment combiné (72,96 %), effet secondaire de la distance, effet faible des rappels</w:t>
            </w:r>
          </w:p>
        </w:tc>
      </w:tr>
      <w:tr>
        <w:tc>
          <w:tcPr>
            <w:tcW w:type="dxa" w:w="2800"/>
            <w:tcMar>
              <w:top w:type="dxa" w:w="80"/>
              <w:left w:type="dxa" w:w="90"/>
              <w:bottom w:type="dxa" w:w="80"/>
              <w:right w:type="dxa" w:w="90"/>
            </w:tcMar>
            <w:vAlign w:val="center"/>
          </w:tcPr>
          <w:p>
            <w:r>
              <w:rPr>
                <w:b/>
                <w:bCs/>
                <w:color w:val="000000"/>
                <w:sz w:val="18"/>
                <w:szCs w:val="18"/>
              </w:rPr>
              <w:t xml:space="preserve">Fourni (côté Data Analytics)</w:t>
            </w:r>
          </w:p>
        </w:tc>
        <w:tc>
          <w:tcPr>
            <w:tcW w:type="dxa" w:w="6500"/>
            <w:tcMar>
              <w:top w:type="dxa" w:w="80"/>
              <w:left w:type="dxa" w:w="90"/>
              <w:bottom w:type="dxa" w:w="80"/>
              <w:right w:type="dxa" w:w="90"/>
            </w:tcMar>
            <w:vAlign w:val="center"/>
          </w:tcPr>
          <w:p>
            <w:r>
              <w:rPr>
                <w:b w:val="false"/>
                <w:bCs w:val="false"/>
                <w:color w:val="000000"/>
                <w:sz w:val="18"/>
                <w:szCs w:val="18"/>
              </w:rPr>
              <w:t xml:space="preserve">Note de transmission synthétisant les variables prédictives, taux et effectifs validés, avec mise en garde sur les cellules à faible échantillon</w:t>
            </w:r>
          </w:p>
        </w:tc>
      </w:tr>
      <w:tr>
        <w:tc>
          <w:tcPr>
            <w:tcW w:type="dxa" w:w="2800"/>
            <w:tcMar>
              <w:top w:type="dxa" w:w="80"/>
              <w:left w:type="dxa" w:w="90"/>
              <w:bottom w:type="dxa" w:w="80"/>
              <w:right w:type="dxa" w:w="90"/>
            </w:tcMar>
            <w:vAlign w:val="center"/>
          </w:tcPr>
          <w:p>
            <w:r>
              <w:rPr>
                <w:b/>
                <w:bCs/>
                <w:color w:val="000000"/>
                <w:sz w:val="18"/>
                <w:szCs w:val="18"/>
              </w:rPr>
              <w:t xml:space="preserve">Activité réalisée</w:t>
            </w:r>
          </w:p>
        </w:tc>
        <w:tc>
          <w:tcPr>
            <w:tcW w:type="dxa" w:w="6500"/>
            <w:tcMar>
              <w:top w:type="dxa" w:w="80"/>
              <w:left w:type="dxa" w:w="90"/>
              <w:bottom w:type="dxa" w:w="80"/>
              <w:right w:type="dxa" w:w="90"/>
            </w:tcMar>
            <w:vAlign w:val="center"/>
          </w:tcPr>
          <w:p>
            <w:r>
              <w:rPr>
                <w:b w:val="false"/>
                <w:bCs w:val="false"/>
                <w:color w:val="000000"/>
                <w:sz w:val="18"/>
                <w:szCs w:val="18"/>
              </w:rPr>
              <w:t xml:space="preserve">Traduction des résultats en recommandations de modélisation : sélection des variables prioritaires, traitement de la variable cible, identification d'un risque de fuite de données</w:t>
            </w:r>
          </w:p>
        </w:tc>
      </w:tr>
      <w:tr>
        <w:tc>
          <w:tcPr>
            <w:tcW w:type="dxa" w:w="2800"/>
            <w:tcMar>
              <w:top w:type="dxa" w:w="80"/>
              <w:left w:type="dxa" w:w="90"/>
              <w:bottom w:type="dxa" w:w="80"/>
              <w:right w:type="dxa" w:w="90"/>
            </w:tcMar>
            <w:vAlign w:val="center"/>
          </w:tcPr>
          <w:p>
            <w:r>
              <w:rPr>
                <w:b/>
                <w:bCs/>
                <w:color w:val="000000"/>
                <w:sz w:val="18"/>
                <w:szCs w:val="18"/>
              </w:rPr>
              <w:t xml:space="preserve">Changement obtenu</w:t>
            </w:r>
          </w:p>
        </w:tc>
        <w:tc>
          <w:tcPr>
            <w:tcW w:type="dxa" w:w="6500"/>
            <w:tcMar>
              <w:top w:type="dxa" w:w="80"/>
              <w:left w:type="dxa" w:w="90"/>
              <w:bottom w:type="dxa" w:w="80"/>
              <w:right w:type="dxa" w:w="90"/>
            </w:tcMar>
            <w:vAlign w:val="center"/>
          </w:tcPr>
          <w:p>
            <w:r>
              <w:rPr>
                <w:b w:val="false"/>
                <w:bCs w:val="false"/>
                <w:color w:val="000000"/>
                <w:sz w:val="18"/>
                <w:szCs w:val="18"/>
              </w:rPr>
              <w:t xml:space="preserve">Identification d'un risque méthodologique (fuite de données via waiting_time_minutes) et proposition d'une variable d'interaction délai × historique, non formulées par l'analyse descriptive seule</w:t>
            </w:r>
          </w:p>
        </w:tc>
      </w:tr>
      <w:tr>
        <w:tc>
          <w:tcPr>
            <w:tcW w:type="dxa" w:w="2800"/>
            <w:tcMar>
              <w:top w:type="dxa" w:w="80"/>
              <w:left w:type="dxa" w:w="90"/>
              <w:bottom w:type="dxa" w:w="80"/>
              <w:right w:type="dxa" w:w="90"/>
            </w:tcMar>
            <w:vAlign w:val="center"/>
          </w:tcPr>
          <w:p>
            <w:r>
              <w:rPr>
                <w:b/>
                <w:bCs/>
                <w:color w:val="000000"/>
                <w:sz w:val="18"/>
                <w:szCs w:val="18"/>
              </w:rPr>
              <w:t xml:space="preserve">Preuve</w:t>
            </w:r>
          </w:p>
        </w:tc>
        <w:tc>
          <w:tcPr>
            <w:tcW w:type="dxa" w:w="6500"/>
            <w:tcMar>
              <w:top w:type="dxa" w:w="80"/>
              <w:left w:type="dxa" w:w="90"/>
              <w:bottom w:type="dxa" w:w="80"/>
              <w:right w:type="dxa" w:w="90"/>
            </w:tcMar>
            <w:vAlign w:val="center"/>
          </w:tcPr>
          <w:p>
            <w:r>
              <w:rPr>
                <w:b w:val="false"/>
                <w:bCs w:val="false"/>
                <w:color w:val="000000"/>
                <w:sz w:val="18"/>
                <w:szCs w:val="18"/>
              </w:rPr>
              <w:t xml:space="preserve">Note de transmission documentée ci-dessous, mesures DAX du segment à haut risque intégrées au dashboard, commit GitHub du dossier Semaine 6</w:t>
            </w:r>
          </w:p>
        </w:tc>
      </w:tr>
    </w:tbl>
    <w:p>
      <w:pPr>
        <w:spacing w:after="160"/>
        <w:jc w:val="both"/>
      </w:pPr>
      <w:r>
        <w:rPr>
          <w:color w:val="000000"/>
          <w:sz w:val="21"/>
          <w:szCs w:val="21"/>
        </w:rPr>
        <w:t xml:space="preserve">Note méthodologique : cette intégration a été réalisée en autonomie, en l'absence de stagiaire assigné au track Data Science à ce stade du programme. La perspective Data Science a été simulée pour répondre à l'exigence d'intégration du devoir, en s'appuyant rigoureusement sur les résultats validés du track Data Analytics.</w:t>
      </w:r>
    </w:p>
    <w:p>
      <w:pPr>
        <w:pStyle w:val="Heading1"/>
        <w:spacing w:after="140" w:before="280"/>
      </w:pPr>
      <w:r>
        <w:rPr>
          <w:b/>
          <w:bCs/>
          <w:color w:val="000000"/>
        </w:rPr>
        <w:t xml:space="preserve">Exigences de test pour la Semaine 7</w:t>
      </w:r>
    </w:p>
    <w:p>
      <w:pPr>
        <w:pStyle w:val="ListParagraph"/>
        <w:numPr>
          <w:ilvl w:val="0"/>
          <w:numId w:val="2"/>
        </w:numPr>
        <w:spacing w:after="100"/>
        <w:jc w:val="both"/>
      </w:pPr>
      <w:r>
        <w:rPr>
          <w:color w:val="000000"/>
          <w:sz w:val="21"/>
          <w:szCs w:val="21"/>
        </w:rPr>
        <w:t xml:space="preserve">Revalider le segment à haut risque sur une période de données plus longue si disponible, pour confirmer la stabilité du taux de 72,96 %.</w:t>
      </w:r>
    </w:p>
    <w:p>
      <w:pPr>
        <w:pStyle w:val="ListParagraph"/>
        <w:numPr>
          <w:ilvl w:val="0"/>
          <w:numId w:val="2"/>
        </w:numPr>
        <w:spacing w:after="100"/>
        <w:jc w:val="both"/>
      </w:pPr>
      <w:r>
        <w:rPr>
          <w:color w:val="000000"/>
          <w:sz w:val="21"/>
          <w:szCs w:val="21"/>
        </w:rPr>
        <w:t xml:space="preserve">Retester l'effet des rappels en isolant les patients du segment à haut risque, pour vérifier si un rappel a un effet plus marqué sur cette population spécifique que sur l'ensemble des patients.</w:t>
      </w:r>
    </w:p>
    <w:p>
      <w:pPr>
        <w:pStyle w:val="ListParagraph"/>
        <w:numPr>
          <w:ilvl w:val="0"/>
          <w:numId w:val="2"/>
        </w:numPr>
        <w:spacing w:after="100"/>
        <w:jc w:val="both"/>
      </w:pPr>
      <w:r>
        <w:rPr>
          <w:color w:val="000000"/>
          <w:sz w:val="21"/>
          <w:szCs w:val="21"/>
        </w:rPr>
        <w:t xml:space="preserve">Valider la variable d'interaction délai × historique proposée à la perspective Data Science, une fois qu'un premier modèle sera disponible.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2026-09-09T07:15:37.952Z</dcterms:created>
  <dcterms:modified xsi:type="dcterms:W3CDTF">2026-09-09T07:15:37.963Z</dcterms:modified>
</cp:coreProperties>
</file>

<file path=docProps/custom.xml><?xml version="1.0" encoding="utf-8"?>
<Properties xmlns="http://schemas.openxmlformats.org/officeDocument/2006/custom-properties" xmlns:vt="http://schemas.openxmlformats.org/officeDocument/2006/docPropsVTypes"/>
</file>