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30"/>
          <w:szCs w:val="30"/>
        </w:rPr>
        <w:t xml:space="preserve">RÉSUMÉ DE PROJET — SEMAINE 6</w:t>
      </w:r>
    </w:p>
    <w:p>
      <w:pPr>
        <w:spacing w:after="260"/>
        <w:jc w:val="center"/>
      </w:pPr>
      <w:r>
        <w:rPr>
          <w:i/>
          <w:iCs/>
          <w:color w:val="000000"/>
          <w:sz w:val="22"/>
          <w:szCs w:val="22"/>
        </w:rPr>
        <w:t xml:space="preserve">Projet HealthConnect — Track Data Analytics</w:t>
      </w:r>
    </w:p>
    <w:p>
      <w:pPr>
        <w:pStyle w:val="Heading1"/>
        <w:spacing w:after="120" w:before="240"/>
      </w:pPr>
      <w:r>
        <w:rPr>
          <w:b/>
          <w:bCs/>
          <w:color w:val="000000"/>
        </w:rPr>
        <w:t xml:space="preserve">Ce qui était prévu</w:t>
      </w:r>
    </w:p>
    <w:p>
      <w:pPr>
        <w:spacing w:after="160"/>
        <w:jc w:val="both"/>
      </w:pPr>
      <w:r>
        <w:rPr>
          <w:color w:val="000000"/>
          <w:sz w:val="21"/>
          <w:szCs w:val="21"/>
        </w:rPr>
        <w:t xml:space="preserve">Approfondir les résultats les plus solides de la Semaine 5, notamment le délai de réservation et l'historique de no-show, vérifier leur fiabilité statistique, affiner les KPI en conséquence, et réaliser une vraie intégration avec un autre track plutôt que de simplement l'identifier comme prévu la semaine dernière.</w:t>
      </w:r>
    </w:p>
    <w:p>
      <w:pPr>
        <w:pStyle w:val="Heading1"/>
        <w:spacing w:after="120" w:before="240"/>
      </w:pPr>
      <w:r>
        <w:rPr>
          <w:b/>
          <w:bCs/>
          <w:color w:val="000000"/>
        </w:rPr>
        <w:t xml:space="preserve">Ce qui a été fait</w:t>
      </w:r>
    </w:p>
    <w:p>
      <w:pPr>
        <w:spacing w:after="160"/>
        <w:jc w:val="both"/>
      </w:pPr>
      <w:r>
        <w:rPr>
          <w:color w:val="000000"/>
          <w:sz w:val="21"/>
          <w:szCs w:val="21"/>
        </w:rPr>
        <w:t xml:space="preserve">Un croisement approfondi entre délai de réservation, historique de no-show et distance à la clinique a permis d'isoler un segment à très haut risque. Les cinq KPI de la Semaine 5 ont été revalidés, avec un sixième KPI ajouté pour ce segment combiné. Le dashboard Power BI a été enrichi d'une matrice croisée et d'une carte KPI dédiée, sans être reconstruit. Une intégration avec une perspective Data Science a été réalisée, en simulant ce rôle en l'absence de partenaire assigné sur ce track.</w:t>
      </w:r>
    </w:p>
    <w:p>
      <w:pPr>
        <w:pStyle w:val="Heading1"/>
        <w:spacing w:after="120" w:before="240"/>
      </w:pPr>
      <w:r>
        <w:rPr>
          <w:b/>
          <w:bCs/>
          <w:color w:val="000000"/>
        </w:rPr>
        <w:t xml:space="preserve">Principales découvertes</w:t>
      </w:r>
    </w:p>
    <w:p>
      <w:pPr>
        <w:pStyle w:val="ListParagraph"/>
        <w:numPr>
          <w:ilvl w:val="0"/>
          <w:numId w:val="2"/>
        </w:numPr>
        <w:spacing w:after="100"/>
        <w:jc w:val="both"/>
      </w:pPr>
      <w:r>
        <w:rPr>
          <w:color w:val="000000"/>
          <w:sz w:val="21"/>
          <w:szCs w:val="21"/>
        </w:rPr>
        <w:t xml:space="preserve">Le délai de réservation agit comme un facteur de risque indépendant : un rendez-vous pris à plus de 30 jours affiche 55,18 % de no-show même sans aucun antécédent (n ≈ 1 410).</w:t>
      </w:r>
    </w:p>
    <w:p>
      <w:pPr>
        <w:pStyle w:val="ListParagraph"/>
        <w:numPr>
          <w:ilvl w:val="0"/>
          <w:numId w:val="2"/>
        </w:numPr>
        <w:spacing w:after="100"/>
        <w:jc w:val="both"/>
      </w:pPr>
      <w:r>
        <w:rPr>
          <w:color w:val="000000"/>
          <w:sz w:val="21"/>
          <w:szCs w:val="21"/>
        </w:rPr>
        <w:t xml:space="preserve">Le segment combinant délai long et historique de récidive (2 antécédents ou plus) atteint 72,96 % de taux de no-show (n ≈ 233) — le résultat le plus actionnable de l'analyse.</w:t>
      </w:r>
    </w:p>
    <w:p>
      <w:pPr>
        <w:pStyle w:val="ListParagraph"/>
        <w:numPr>
          <w:ilvl w:val="0"/>
          <w:numId w:val="2"/>
        </w:numPr>
        <w:spacing w:after="100"/>
        <w:jc w:val="both"/>
      </w:pPr>
      <w:r>
        <w:rPr>
          <w:color w:val="000000"/>
          <w:sz w:val="21"/>
          <w:szCs w:val="21"/>
        </w:rPr>
        <w:t xml:space="preserve">Certaines combinaisons affichant 100 % de no-show reposent sur seulement 1 à 4 cas et ne sont pas généralisables.</w:t>
      </w:r>
    </w:p>
    <w:p>
      <w:pPr>
        <w:pStyle w:val="Heading1"/>
        <w:spacing w:after="120" w:before="240"/>
      </w:pPr>
      <w:r>
        <w:rPr>
          <w:b/>
          <w:bCs/>
          <w:color w:val="000000"/>
        </w:rPr>
        <w:t xml:space="preserve">Difficultés rencontrées</w:t>
      </w:r>
    </w:p>
    <w:p>
      <w:pPr>
        <w:spacing w:after="160"/>
        <w:jc w:val="both"/>
      </w:pPr>
      <w:r>
        <w:rPr>
          <w:color w:val="000000"/>
          <w:sz w:val="21"/>
          <w:szCs w:val="21"/>
        </w:rPr>
        <w:t xml:space="preserve">La principale difficulté a été de distinguer les résultats statistiquement solides des artefacts liés à un trop petit échantillon. Plusieurs cellules des matrices croisées affichaient des taux extrêmes (100 %) qui, après vérification des effectifs, se sont révélées peu fiables. Il a fallu systématiquement croiser chaque taux avec son nombre de cas avant de le retenir.</w:t>
      </w:r>
    </w:p>
    <w:p>
      <w:pPr>
        <w:pStyle w:val="Heading1"/>
        <w:spacing w:after="120" w:before="240"/>
      </w:pPr>
      <w:r>
        <w:rPr>
          <w:b/>
          <w:bCs/>
          <w:color w:val="000000"/>
        </w:rPr>
        <w:t xml:space="preserve">Décisions prises et justification</w:t>
      </w:r>
    </w:p>
    <w:p>
      <w:pPr>
        <w:spacing w:after="160"/>
        <w:jc w:val="both"/>
      </w:pPr>
      <w:r>
        <w:rPr>
          <w:color w:val="000000"/>
          <w:sz w:val="21"/>
          <w:szCs w:val="21"/>
        </w:rPr>
        <w:t xml:space="preserve">Décision de ne pas retester l'effet des rappels cette semaine, cet axe ayant déjà montré un effet faible en Semaine 5 et n'étant pas prioritaire face aux résultats plus solides du délai et de l'historique. Décision de simuler le rôle Data Science plutôt que de reporter l'exigence d'intégration, en documentant cette limite de façon transparente.</w:t>
      </w:r>
    </w:p>
    <w:p>
      <w:pPr>
        <w:pStyle w:val="Heading1"/>
        <w:spacing w:after="120" w:before="240"/>
      </w:pPr>
      <w:r>
        <w:rPr>
          <w:b/>
          <w:bCs/>
          <w:color w:val="000000"/>
        </w:rPr>
        <w:t xml:space="preserve">Changements par rapport à l'approche de la Semaine 5</w:t>
      </w:r>
    </w:p>
    <w:p>
      <w:pPr>
        <w:spacing w:after="160"/>
        <w:jc w:val="both"/>
      </w:pPr>
      <w:r>
        <w:rPr>
          <w:color w:val="000000"/>
          <w:sz w:val="21"/>
          <w:szCs w:val="21"/>
        </w:rPr>
        <w:t xml:space="preserve">Aucun changement de dataset ni d'outil. La différence porte sur la profondeur d'analyse : la Semaine 5 mesurait des taux par variable prise isolément, la Semaine 6 les croise pour identifier des effets cumulatifs, avec un contrôle systématique de la fiabilité statistique qui n'avait pas été fait la semaine précédente.</w:t>
      </w:r>
    </w:p>
    <w:p>
      <w:pPr>
        <w:pStyle w:val="Heading1"/>
        <w:spacing w:after="120" w:before="240"/>
      </w:pPr>
      <w:r>
        <w:rPr>
          <w:b/>
          <w:bCs/>
          <w:color w:val="000000"/>
        </w:rPr>
        <w:t xml:space="preserve">Collaboration inter-tracks réalisée</w:t>
      </w:r>
    </w:p>
    <w:p>
      <w:pPr>
        <w:spacing w:after="160"/>
        <w:jc w:val="both"/>
      </w:pPr>
      <w:r>
        <w:rPr>
          <w:color w:val="000000"/>
          <w:sz w:val="21"/>
          <w:szCs w:val="21"/>
        </w:rPr>
        <w:t xml:space="preserve">Collaboration simulée avec le track Data Science : transmission des résultats validés (variables déterminantes, segment à haut risque, effectifs) et réception, sous cette autre perspective, de recommandations concrètes de modélisation, incluant l'identification d'un risque de fuite de données sur la variable waiting_time_minutes.</w:t>
      </w:r>
    </w:p>
    <w:p>
      <w:pPr>
        <w:pStyle w:val="Heading1"/>
        <w:spacing w:after="120" w:before="240"/>
      </w:pPr>
      <w:r>
        <w:rPr>
          <w:b/>
          <w:bCs/>
          <w:color w:val="000000"/>
        </w:rPr>
        <w:t xml:space="preserve">Travail restant</w:t>
      </w:r>
    </w:p>
    <w:p>
      <w:pPr>
        <w:pStyle w:val="ListParagraph"/>
        <w:numPr>
          <w:ilvl w:val="0"/>
          <w:numId w:val="2"/>
        </w:numPr>
        <w:spacing w:after="100"/>
        <w:jc w:val="both"/>
      </w:pPr>
      <w:r>
        <w:rPr>
          <w:color w:val="000000"/>
          <w:sz w:val="21"/>
          <w:szCs w:val="21"/>
        </w:rPr>
        <w:t xml:space="preserve">Retester l'effet des rappels spécifiquement sur le segment à haut risque plutôt que sur l'ensemble des patients.</w:t>
      </w:r>
    </w:p>
    <w:p>
      <w:pPr>
        <w:pStyle w:val="ListParagraph"/>
        <w:numPr>
          <w:ilvl w:val="0"/>
          <w:numId w:val="2"/>
        </w:numPr>
        <w:spacing w:after="100"/>
        <w:jc w:val="both"/>
      </w:pPr>
      <w:r>
        <w:rPr>
          <w:color w:val="000000"/>
          <w:sz w:val="21"/>
          <w:szCs w:val="21"/>
        </w:rPr>
        <w:t xml:space="preserve">Revalider le segment à haut risque si un volume de données plus large devient disponible.</w:t>
      </w:r>
    </w:p>
    <w:p>
      <w:pPr>
        <w:pStyle w:val="ListParagraph"/>
        <w:numPr>
          <w:ilvl w:val="0"/>
          <w:numId w:val="2"/>
        </w:numPr>
        <w:spacing w:after="100"/>
        <w:jc w:val="both"/>
      </w:pPr>
      <w:r>
        <w:rPr>
          <w:color w:val="000000"/>
          <w:sz w:val="21"/>
          <w:szCs w:val="21"/>
        </w:rPr>
        <w:t xml:space="preserve">Poursuivre la collaboration avec Data Science une fois qu'un premier modèle prédictif existera, pour vérifier si les variables recommandées se confirment utiles.</w:t>
      </w:r>
    </w:p>
    <w:p>
      <w:pPr>
        <w:pStyle w:val="Heading1"/>
        <w:spacing w:after="120" w:before="240"/>
      </w:pPr>
      <w:r>
        <w:rPr>
          <w:b/>
          <w:bCs/>
          <w:color w:val="000000"/>
        </w:rPr>
        <w:t xml:space="preserve">Contribution au projet HealthConnect</w:t>
      </w:r>
    </w:p>
    <w:p>
      <w:pPr>
        <w:spacing w:after="160"/>
        <w:jc w:val="both"/>
      </w:pPr>
      <w:r>
        <w:rPr>
          <w:color w:val="000000"/>
          <w:sz w:val="21"/>
          <w:szCs w:val="21"/>
        </w:rPr>
        <w:t xml:space="preserve">Cette semaine fournit à l'ensemble du projet un segment de patients clairement identifié et quantifié (délai long et historique de récidive), directement exploitable par la clinique pour prioriser ses actions, et par un futur modèle prédictif comme base de variables à tester en priorité.</w:t>
      </w:r>
    </w:p>
    <w:p>
      <w:pPr>
        <w:pStyle w:val="Heading1"/>
        <w:spacing w:after="120" w:before="240"/>
      </w:pPr>
      <w:r>
        <w:rPr>
          <w:b/>
          <w:bCs/>
          <w:color w:val="000000"/>
        </w:rPr>
        <w:t xml:space="preserve">Focus proposé pour la Semaine 7</w:t>
      </w:r>
    </w:p>
    <w:p>
      <w:pPr>
        <w:spacing w:after="160"/>
        <w:jc w:val="both"/>
      </w:pPr>
      <w:r>
        <w:rPr>
          <w:color w:val="000000"/>
          <w:sz w:val="21"/>
          <w:szCs w:val="21"/>
        </w:rPr>
        <w:t xml:space="preserve">Tester la robustesse du segment à haut risque sur d'autres découpages de données si possible, et évaluer plus précisément l'effet des rappels au sein de ce segment spécifique plutôt que sur la population générale.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2026-09-09T07:24:24.724Z</dcterms:created>
  <dcterms:modified xsi:type="dcterms:W3CDTF">2026-09-09T07:24:24.739Z</dcterms:modified>
</cp:coreProperties>
</file>

<file path=docProps/custom.xml><?xml version="1.0" encoding="utf-8"?>
<Properties xmlns="http://schemas.openxmlformats.org/officeDocument/2006/custom-properties" xmlns:vt="http://schemas.openxmlformats.org/officeDocument/2006/docPropsVTypes"/>
</file>