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 xml:space="preserve">PACKAGE FINAL D'AIDE À LA DÉCISION</w:t>
      </w:r>
    </w:p>
    <w:p>
      <w:pPr>
        <w:spacing w:after="260"/>
        <w:jc w:val="center"/>
      </w:pPr>
      <w:r>
        <w:rPr>
          <w:i/>
          <w:iCs/>
          <w:color w:val="000000"/>
          <w:sz w:val="22"/>
          <w:szCs w:val="22"/>
        </w:rPr>
        <w:t xml:space="preserve">Projet HealthConnect — Track Data Analytics — Semaine 8 (Livraison finale)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Résumé exécutif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HealthConnect Clinic perd près d'un rendez-vous sur deux à cause d'absences non annoncées (48,46 % de taux de no-show sur 5000 rendez-vous analysés).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L'analyse a permis d'identifier un segment de patients précis, représentant environ 5 % des rendez-vous, dont le risque d'absence atteint 72,96 % — soit une fois et demie la moyenne. Ce segment se définit par deux critères simples, connus dès la prise de rendez-vous : un délai de réservation supérieur à 30 jours, combiné à un historique d'au moins deux rendez-vous manqués. Ce résultat a été vérifié à trois reprises et confirmé stable quel que soit l'âge ou le genre du patient.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Un test complémentaire sur ce segment révèle un levier d'action immédiat : le canal de rappel WhatsApp réduit le taux d'absence à 68,85 %, contre 74,70 % pour le SMS actuellement utilisé par défaut.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Recommandation principale : signaler automatiquement les rendez-vous à haut risque dès leur réservation, et privilégier WhatsApp comme canal de rappel pour ce segment précis — un changement simple, peu coûteux, et directement applicable.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Limite principale : l'analyse repose sur un jeu de données fictif ; une validation sur des données réelles serait nécessaire avant tout déploiement.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Transition depuis la Semaine 7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La Semaine 7 a permis de valider le KPI central du projet — le segment à haut risque, à 72,96 % — par une triple vérification, et de découvrir un graphique défectueux dans le dashboard, corrigé depuis. Le test du canal de rappel a révélé un levier d'action que l'analyse générale des semaines précédentes ne laissait pas voir. Cette semaine consolide l'ensemble en un livrable final, sans reprendre l'analyse à zéro.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KPI finaux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c>
          <w:tcPr>
            <w:tcW w:type="dxa" w:w="32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KPI</w:t>
            </w:r>
          </w:p>
        </w:tc>
        <w:tc>
          <w:tcPr>
            <w:tcW w:type="dxa" w:w="26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Valeur finale</w:t>
            </w:r>
          </w:p>
        </w:tc>
        <w:tc>
          <w:tcPr>
            <w:tcW w:type="dxa" w:w="3200"/>
            <w:shd w:fill="EDEDED" w:val="clear"/>
            <w:tcMar>
              <w:top w:type="dxa" w:w="90"/>
              <w:left w:type="dxa" w:w="90"/>
              <w:bottom w:type="dxa" w:w="9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global de no-show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48,46 %</w:t>
            </w:r>
          </w:p>
        </w:tc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Indicateur de référence, confirmé stable depuis la Semaine 5</w:t>
            </w:r>
          </w:p>
        </w:tc>
      </w:tr>
      <w:tr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du segment à haut risque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72,96 % (n ≈ 233)</w:t>
            </w:r>
          </w:p>
        </w:tc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Validé par triple vérification en Semaine 7</w:t>
            </w:r>
          </w:p>
        </w:tc>
      </w:tr>
      <w:tr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par délai de réservation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24,8 % à 60,5 %</w:t>
            </w:r>
          </w:p>
        </w:tc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du segment à risque, facteur le plus déterminant</w:t>
            </w:r>
          </w:p>
        </w:tc>
      </w:tr>
      <w:tr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de récidive par historique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43,5 % à 68,8 %</w:t>
            </w:r>
          </w:p>
        </w:tc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 du segment à risque, effet cumulatif avec le délai</w:t>
            </w:r>
          </w:p>
        </w:tc>
      </w:tr>
      <w:tr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par distance à la clinique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46,5 % à 57,8 %</w:t>
            </w:r>
          </w:p>
        </w:tc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Effet secondaire réel</w:t>
            </w:r>
          </w:p>
        </w:tc>
      </w:tr>
      <w:tr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Taux du segment à risque par canal de rappel</w:t>
            </w:r>
          </w:p>
        </w:tc>
        <w:tc>
          <w:tcPr>
            <w:tcW w:type="dxa" w:w="26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68,85 % (WhatsApp) à 79,17 % (Email)</w:t>
            </w:r>
          </w:p>
        </w:tc>
        <w:tc>
          <w:tcPr>
            <w:tcW w:type="dxa" w:w="3200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Validé en Semaine 7, base de la recommandation finale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000000"/>
        </w:rPr>
        <w:t xml:space="preserve">Patterns de no-show les plus importants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délai de réservation est le facteur le plus déterminant : un rendez-vous pris à plus de 30 jours affiche un taux de no-show élevé même sans aucun antécédent (55,18 %, n ≈ 1410).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L'historique du patient amplifie fortement ce risque : jusqu'à 68,8 % de no-show avec 3 antécédents ou plus.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La combinaison des deux crée un segment clairement identifiable : 72,96 % de taux de no-show, stable quel que soit l'âge ou le genre du patient.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canal de rappel n'a d'effet visible que dans ce segment précis : WhatsApp (68,85 %) surpasse nettement le SMS (74,70 %) et l'absence de rappel (72,31 %), un effet invisible à l'échelle des 5000 rendez-vous.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Insight métier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La clinique n'a pas besoin de traiter tous ses patients de la même façon. Un sous-groupe précis et identifiable — moins de 5 % des rendez-vous — concentre un risque d'absence presque une fois et demie supérieur à la moyenne. Ce sous-groupe est facilement repérable au moment de la prise de rendez-vous, ce qui permet une intervention ciblée avant même que le rendez-vous n'ait lieu.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Recommandations actionnables finales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color w:val="000000"/>
          <w:sz w:val="21"/>
          <w:szCs w:val="21"/>
        </w:rPr>
        <w:t xml:space="preserve">Mettre en place une alerte automatique au moment de la réservation : dès qu'un rendez-vous cumule un délai supérieur à 30 jours et un historique de 2 antécédents ou plus, le signaler comme à haut risque.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color w:val="000000"/>
          <w:sz w:val="21"/>
          <w:szCs w:val="21"/>
        </w:rPr>
        <w:t xml:space="preserve">Privilégier WhatsApp comme canal de rappel pour ce segment, avec un gain observé de 6 points de taux d'assiduité par rapport au SMS.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color w:val="000000"/>
          <w:sz w:val="21"/>
          <w:szCs w:val="21"/>
        </w:rPr>
        <w:t xml:space="preserve">Proposer des créneaux plus rapprochés en priorité pour les patients à historique de récidive connu, quand la disponibilité le permet.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color w:val="000000"/>
          <w:sz w:val="21"/>
          <w:szCs w:val="21"/>
        </w:rPr>
        <w:t xml:space="preserve">Continuer à surveiller le résultat sur le canal Email avant généralisation, celui-ci reposant sur un échantillon limité (24 cas).</w:t>
      </w:r>
    </w:p>
    <w:p>
      <w:pPr>
        <w:pStyle w:val="ListParagraph"/>
        <w:numPr>
          <w:ilvl w:val="0"/>
          <w:numId w:val="3"/>
        </w:numPr>
        <w:spacing w:after="120"/>
        <w:jc w:val="both"/>
      </w:pPr>
      <w:r>
        <w:rPr>
          <w:color w:val="000000"/>
          <w:sz w:val="21"/>
          <w:szCs w:val="21"/>
        </w:rPr>
        <w:t xml:space="preserve">Ne pas complexifier le ciblage par sous-groupe démographique : le segment reste stable sur tous les âges et les deux genres, un seul critère opérationnel suffit.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Comment ces résultats soutiennent les décisions de HealthConnect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Ils transforment un problème flou (« trop de rendez-vous manqués ») en cible opérationnelle précise et calculable automatiquement.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Ils permettent d'allouer les ressources limitées de la clinique là où l'effort rapporte le plus, plutôt que de le diluer sur l'ensemble des patients.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Ils rendent une décision immédiatement actionnable : changer de canal de rappel par défaut pour un segment précis, sans investissement technique lourd.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Ils posent une base testée pour un futur modèle prédictif, à travers les variables identifiées et validées au fil du projet.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Limites analytiques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résultat sur le canal Email repose sur un échantillon restreint (24 cas) et pourrait en partie refléter le hasard de l'échantillon.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Les résultats mesurent des associations, pas des relations de cause à effet.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 dataset est fictif et anonymisé ; une validation sur des données réelles serait nécessaire avant tout déploiement.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Les tests de robustesse n'ont pas couvert toutes les combinaisons croisées possibles (âge, genre et canal simultanément), l'effectif du segment ne permettant probablement pas des sous-groupes assez larges.</w:t>
      </w:r>
    </w:p>
    <w:p>
      <w:pPr>
        <w:pStyle w:val="ListParagraph"/>
        <w:numPr>
          <w:ilvl w:val="0"/>
          <w:numId w:val="2"/>
        </w:numPr>
        <w:spacing w:after="100"/>
        <w:jc w:val="both"/>
      </w:pPr>
      <w:r>
        <w:rPr>
          <w:color w:val="000000"/>
          <w:sz w:val="21"/>
          <w:szCs w:val="21"/>
        </w:rPr>
        <w:t xml:space="preserve">D'autres seuils de délai que 30 jours (par exemple 15 ou 20 jours) n'ont pas été testés pour comparer portée et intensité du risque.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Intégration inter-tracks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Aucun stagiaire n'était assigné au track Data Science à ce stade du programme, ce qui n'a pas permis de réaliser une collaboration inter-tracks pour cette phase finale. Les résultats analytiques validés (segment à haut risque, effet du canal de rappel, variables déterminantes) sont documentés de façon à pouvoir être transmis et exploités dès qu'un partenaire sera disponible sur ce track.</w:t>
      </w:r>
    </w:p>
    <w:p>
      <w:pPr>
        <w:pStyle w:val="Heading1"/>
        <w:spacing w:after="140" w:before="280"/>
      </w:pPr>
      <w:r>
        <w:rPr>
          <w:b/>
          <w:bCs/>
          <w:color w:val="000000"/>
        </w:rPr>
        <w:t xml:space="preserve">Conclusion</w:t>
      </w:r>
    </w:p>
    <w:p>
      <w:pPr>
        <w:spacing w:after="160"/>
        <w:jc w:val="both"/>
      </w:pPr>
      <w:r>
        <w:rPr>
          <w:color w:val="000000"/>
          <w:sz w:val="21"/>
          <w:szCs w:val="21"/>
        </w:rPr>
        <w:t xml:space="preserve">Ce travail ne se contente pas de décrire le problème des rendez-vous manqués : il donne à la direction de HealthConnect un levier d'action concret, vérifié à plusieurs reprises, et immédiatement applicable, tout en posant les bases d'une solution plus avancée pour l'avenir.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43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2026-09-27T20:51:11.022Z</dcterms:created>
  <dcterms:modified xsi:type="dcterms:W3CDTF">2026-09-27T20:51:11.031Z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