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RÉSUMÉ DE CONTINUITÉ DU PROJET</w:t>
      </w:r>
    </w:p>
    <w:p>
      <w:pPr>
        <w:spacing w:after="60"/>
        <w:jc w:val="center"/>
      </w:pPr>
      <w:r>
        <w:rPr>
          <w:i/>
          <w:iCs/>
          <w:color w:val="2B2B2B"/>
          <w:sz w:val="22"/>
          <w:szCs w:val="22"/>
        </w:rPr>
        <w:t xml:space="preserve">Semaine 3 — Analyse Avancée, KPI et Tableau de Bord de Business Intelligence</w:t>
      </w:r>
    </w:p>
    <w:p>
      <w:pPr>
        <w:spacing w:after="280"/>
        <w:jc w:val="center"/>
      </w:pPr>
      <w:r>
        <w:rPr>
          <w:b/>
          <w:bCs/>
          <w:color w:val="1F3864"/>
          <w:sz w:val="22"/>
          <w:szCs w:val="22"/>
        </w:rPr>
        <w:t xml:space="preserve">Jeu de données : Global Superstore</w:t>
      </w:r>
    </w:p>
    <w:p>
      <w:pPr>
        <w:pStyle w:val="Heading1"/>
        <w:spacing w:after="130" w:before="260"/>
      </w:pPr>
      <w:r>
        <w:rPr>
          <w:b/>
          <w:bCs/>
          <w:color w:val="1F3864"/>
        </w:rPr>
        <w:t xml:space="preserve">1. Jeu de données utilisé</w:t>
      </w:r>
    </w:p>
    <w:p>
      <w:pPr>
        <w:spacing w:after="160"/>
        <w:jc w:val="both"/>
      </w:pPr>
      <w:r>
        <w:rPr>
          <w:color w:val="2B2B2B"/>
          <w:sz w:val="21"/>
          <w:szCs w:val="21"/>
        </w:rPr>
        <w:t xml:space="preserve">Le projet s'appuie sur le Global Superstore Dataset, un jeu de données décrivant les commandes d'une entreprise de distribution internationale de fournitures de bureau. Il couvre environ 51 000 commandes réparties sur 4 ans (2011-2014), à travers 147 pays, 7 marchés (APAC, EU, US, LATAM, EMEA, Africa, et autres) et 3 segments de clientèle (Consumer, Corporate, Home Office). Chaque commande est détaillée par ses dates, le client, le pays, le marché, la catégorie et sous-catégorie de produit, la remise appliquée, la quantité, le chiffre d'affaires, le profit et les frais de livraison.</w:t>
      </w:r>
    </w:p>
    <w:p>
      <w:pPr>
        <w:pStyle w:val="Heading1"/>
        <w:spacing w:after="130" w:before="260"/>
      </w:pPr>
      <w:r>
        <w:rPr>
          <w:b/>
          <w:bCs/>
          <w:color w:val="1F3864"/>
        </w:rPr>
        <w:t xml:space="preserve">2. Problème métier</w:t>
      </w:r>
    </w:p>
    <w:p>
      <w:pPr>
        <w:spacing w:after="160"/>
        <w:jc w:val="both"/>
      </w:pPr>
      <w:r>
        <w:rPr>
          <w:color w:val="2B2B2B"/>
          <w:sz w:val="21"/>
          <w:szCs w:val="21"/>
        </w:rPr>
        <w:t xml:space="preserve">AnalystLab Africa Consulting a été mandaté par cette entreprise pour évaluer sa performance commerciale à l'échelle mondiale. L'objectif est double : donner à la direction une vue claire et actualisée de ses ventes, sa rentabilité et son comportement client par région, et identifier les leviers d'amélioration pour orienter les décisions stratégiques — où investir, où corriger, et quels segments prioriser.</w:t>
      </w:r>
    </w:p>
    <w:p>
      <w:pPr>
        <w:pStyle w:val="Heading1"/>
        <w:spacing w:after="130" w:before="260"/>
      </w:pPr>
      <w:r>
        <w:rPr>
          <w:b/>
          <w:bCs/>
          <w:color w:val="1F3864"/>
        </w:rPr>
        <w:t xml:space="preserve">3. Principales conclusions de la Semaine 2</w:t>
      </w:r>
    </w:p>
    <w:p>
      <w:pPr>
        <w:pStyle w:val="ListParagraph"/>
        <w:numPr>
          <w:ilvl w:val="0"/>
          <w:numId w:val="2"/>
        </w:numPr>
        <w:spacing w:after="120"/>
        <w:jc w:val="both"/>
      </w:pPr>
      <w:r>
        <w:rPr>
          <w:b/>
          <w:bCs/>
          <w:color w:val="2B2B2B"/>
          <w:sz w:val="21"/>
          <w:szCs w:val="21"/>
        </w:rPr>
        <w:t xml:space="preserve">Concentration géographique du profit : </w:t>
      </w:r>
      <w:r>
        <w:rPr>
          <w:b w:val="false"/>
          <w:bCs w:val="false"/>
          <w:color w:val="2B2B2B"/>
          <w:sz w:val="21"/>
          <w:szCs w:val="21"/>
        </w:rPr>
        <w:t xml:space="preserve">la région Central génère à elle seule 311K de profit, soit environ 21% du profit total de l'entreprise — près de 60% de plus que la 2ᵉ région (North, 195K) et plus du double de la 6ᵉ région (Oceania, 132K). Cette concentration expose l'entreprise si Central connaît un ralentissement.</w:t>
      </w:r>
    </w:p>
    <w:p>
      <w:pPr>
        <w:pStyle w:val="ListParagraph"/>
        <w:numPr>
          <w:ilvl w:val="0"/>
          <w:numId w:val="2"/>
        </w:numPr>
        <w:spacing w:after="120"/>
        <w:jc w:val="both"/>
      </w:pPr>
      <w:r>
        <w:rPr>
          <w:b/>
          <w:bCs/>
          <w:color w:val="2B2B2B"/>
          <w:sz w:val="21"/>
          <w:szCs w:val="21"/>
        </w:rPr>
        <w:t xml:space="preserve">Écart de rentabilité entre catégories : </w:t>
      </w:r>
      <w:r>
        <w:rPr>
          <w:b w:val="false"/>
          <w:bCs w:val="false"/>
          <w:color w:val="2B2B2B"/>
          <w:sz w:val="21"/>
          <w:szCs w:val="21"/>
        </w:rPr>
        <w:t xml:space="preserve">Technology affiche la meilleure marge (13,99%) malgré un volume de ventes comparable aux autres catégories (4,7M), alors que Furniture, avec un volume proche (3,8M), ne dégage que 6,94% de marge — soit deux fois moins.</w:t>
      </w:r>
    </w:p>
    <w:p>
      <w:pPr>
        <w:pStyle w:val="ListParagraph"/>
        <w:numPr>
          <w:ilvl w:val="0"/>
          <w:numId w:val="2"/>
        </w:numPr>
        <w:spacing w:after="120"/>
        <w:jc w:val="both"/>
      </w:pPr>
      <w:r>
        <w:rPr>
          <w:b/>
          <w:bCs/>
          <w:color w:val="2B2B2B"/>
          <w:sz w:val="21"/>
          <w:szCs w:val="21"/>
        </w:rPr>
        <w:t xml:space="preserve">Dominance du marché APAC : </w:t>
      </w:r>
      <w:r>
        <w:rPr>
          <w:b w:val="false"/>
          <w:bCs w:val="false"/>
          <w:color w:val="2B2B2B"/>
          <w:sz w:val="21"/>
          <w:szCs w:val="21"/>
        </w:rPr>
        <w:t xml:space="preserve">APAC est le premier contributeur au chiffre d'affaires avec 3,6M, devant l'Europe (2,9M) et les États-Unis (2,3M), ce qui souligne l'importance stratégique de la zone Asie-Pacifique pour l'entreprise.</w:t>
      </w:r>
    </w:p>
    <w:p>
      <w:pPr>
        <w:pStyle w:val="ListParagraph"/>
        <w:numPr>
          <w:ilvl w:val="0"/>
          <w:numId w:val="2"/>
        </w:numPr>
        <w:spacing w:after="120"/>
        <w:jc w:val="both"/>
      </w:pPr>
      <w:r>
        <w:rPr>
          <w:b/>
          <w:bCs/>
          <w:color w:val="2B2B2B"/>
          <w:sz w:val="21"/>
          <w:szCs w:val="21"/>
        </w:rPr>
        <w:t xml:space="preserve">Poids du segment Consumer : </w:t>
      </w:r>
      <w:r>
        <w:rPr>
          <w:b w:val="false"/>
          <w:bCs w:val="false"/>
          <w:color w:val="2B2B2B"/>
          <w:sz w:val="21"/>
          <w:szCs w:val="21"/>
        </w:rPr>
        <w:t xml:space="preserve">ce segment génère à lui seul 51,4% du chiffre d'affaires (6,51M), loin devant Corporate (30,25%) et Home Office (18,27%) — un segment central pour la stratégie commerciale.</w:t>
      </w:r>
    </w:p>
    <w:p>
      <w:pPr>
        <w:pStyle w:val="ListParagraph"/>
        <w:numPr>
          <w:ilvl w:val="0"/>
          <w:numId w:val="2"/>
        </w:numPr>
        <w:spacing w:after="120"/>
        <w:jc w:val="both"/>
      </w:pPr>
      <w:r>
        <w:rPr>
          <w:b/>
          <w:bCs/>
          <w:color w:val="2B2B2B"/>
          <w:sz w:val="21"/>
          <w:szCs w:val="21"/>
        </w:rPr>
        <w:t xml:space="preserve">Produits déficitaires détectés : </w:t>
      </w:r>
      <w:r>
        <w:rPr>
          <w:b w:val="false"/>
          <w:bCs w:val="false"/>
          <w:color w:val="2B2B2B"/>
          <w:sz w:val="21"/>
          <w:szCs w:val="21"/>
        </w:rPr>
        <w:t xml:space="preserve">l'analyse a révélé des produits vendus à perte malgré des volumes significatifs, comme le Zebra GK420t (marge de -1,33) ou le Xerox WorkCentre 6505DN (marge de -0,10), signalant un besoin de révision de prix ou de catalogue.</w:t>
      </w:r>
    </w:p>
    <w:p>
      <w:pPr>
        <w:pStyle w:val="ListParagraph"/>
        <w:numPr>
          <w:ilvl w:val="0"/>
          <w:numId w:val="2"/>
        </w:numPr>
        <w:spacing w:after="120"/>
        <w:jc w:val="both"/>
      </w:pPr>
      <w:r>
        <w:rPr>
          <w:b/>
          <w:bCs/>
          <w:color w:val="2B2B2B"/>
          <w:sz w:val="21"/>
          <w:szCs w:val="21"/>
        </w:rPr>
        <w:t xml:space="preserve">Marge globale de l'entreprise : </w:t>
      </w:r>
      <w:r>
        <w:rPr>
          <w:b w:val="false"/>
          <w:bCs w:val="false"/>
          <w:color w:val="2B2B2B"/>
          <w:sz w:val="21"/>
          <w:szCs w:val="21"/>
        </w:rPr>
        <w:t xml:space="preserve">11,61%, un niveau correct mais avec une forte disparité selon les catégories et régions analysées, ce qui justifie une analyse plus fine en Semaine 3.</w:t>
      </w:r>
    </w:p>
    <w:p>
      <w:pPr>
        <w:pStyle w:val="Heading1"/>
        <w:spacing w:after="130" w:before="260"/>
      </w:pPr>
      <w:r>
        <w:rPr>
          <w:b/>
          <w:bCs/>
          <w:color w:val="1F3864"/>
        </w:rPr>
        <w:t xml:space="preserve">4. Domaines à approfondir en Semaine 3</w:t>
      </w:r>
    </w:p>
    <w:p>
      <w:pPr>
        <w:pStyle w:val="ListParagraph"/>
        <w:numPr>
          <w:ilvl w:val="0"/>
          <w:numId w:val="2"/>
        </w:numPr>
        <w:spacing w:after="120"/>
        <w:jc w:val="both"/>
      </w:pPr>
      <w:r>
        <w:rPr>
          <w:b/>
          <w:bCs/>
          <w:color w:val="2B2B2B"/>
          <w:sz w:val="21"/>
          <w:szCs w:val="21"/>
        </w:rPr>
        <w:t xml:space="preserve">Analyse temporelle — </w:t>
      </w:r>
      <w:r>
        <w:rPr>
          <w:b w:val="false"/>
          <w:bCs w:val="false"/>
          <w:color w:val="2B2B2B"/>
          <w:sz w:val="21"/>
          <w:szCs w:val="21"/>
        </w:rPr>
        <w:t xml:space="preserve">la Semaine 2 n'a pas exploré l'évolution des ventes et du profit dans le temps. Il faut maintenant identifier les mois/trimestres les plus performants, détecter une éventuelle saisonnalité, et calculer la croissance d'une période à l'autre.</w:t>
      </w:r>
    </w:p>
    <w:p>
      <w:pPr>
        <w:pStyle w:val="ListParagraph"/>
        <w:numPr>
          <w:ilvl w:val="0"/>
          <w:numId w:val="2"/>
        </w:numPr>
        <w:spacing w:after="120"/>
        <w:jc w:val="both"/>
      </w:pPr>
      <w:r>
        <w:rPr>
          <w:b/>
          <w:bCs/>
          <w:color w:val="2B2B2B"/>
          <w:sz w:val="21"/>
          <w:szCs w:val="21"/>
        </w:rPr>
        <w:t xml:space="preserve">Analyse des remises — </w:t>
      </w:r>
      <w:r>
        <w:rPr>
          <w:b w:val="false"/>
          <w:bCs w:val="false"/>
          <w:color w:val="2B2B2B"/>
          <w:sz w:val="21"/>
          <w:szCs w:val="21"/>
        </w:rPr>
        <w:t xml:space="preserve">aucune analyse n'a encore été faite sur la relation entre les remises accordées et la rentabilité. C'est un axe potentiellement révélateur, notamment pour expliquer pourquoi certains produits comme le Zebra GK420t sont déficitaires malgré des ventes correctes.</w:t>
      </w:r>
    </w:p>
    <w:p>
      <w:pPr>
        <w:pStyle w:val="ListParagraph"/>
        <w:numPr>
          <w:ilvl w:val="0"/>
          <w:numId w:val="2"/>
        </w:numPr>
        <w:spacing w:after="120"/>
        <w:jc w:val="both"/>
      </w:pPr>
      <w:r>
        <w:rPr>
          <w:b/>
          <w:bCs/>
          <w:color w:val="2B2B2B"/>
          <w:sz w:val="21"/>
          <w:szCs w:val="21"/>
        </w:rPr>
        <w:t xml:space="preserve">Approfondissement produit — </w:t>
      </w:r>
      <w:r>
        <w:rPr>
          <w:b w:val="false"/>
          <w:bCs w:val="false"/>
          <w:color w:val="2B2B2B"/>
          <w:sz w:val="21"/>
          <w:szCs w:val="21"/>
        </w:rPr>
        <w:t xml:space="preserve">au-delà des deux produits déficitaires déjà identifiés, une analyse plus systématique doit être menée pour repérer tous les produits à ventes élevées mais faible profit, et ceux générant des pertes nettes.</w:t>
      </w:r>
    </w:p>
    <w:p>
      <w:pPr>
        <w:pStyle w:val="ListParagraph"/>
        <w:numPr>
          <w:ilvl w:val="0"/>
          <w:numId w:val="2"/>
        </w:numPr>
        <w:spacing w:after="120"/>
        <w:jc w:val="both"/>
      </w:pPr>
      <w:r>
        <w:rPr>
          <w:b/>
          <w:bCs/>
          <w:color w:val="2B2B2B"/>
          <w:sz w:val="21"/>
          <w:szCs w:val="21"/>
        </w:rPr>
        <w:t xml:space="preserve">Approfondissement régional — </w:t>
      </w:r>
      <w:r>
        <w:rPr>
          <w:b w:val="false"/>
          <w:bCs w:val="false"/>
          <w:color w:val="2B2B2B"/>
          <w:sz w:val="21"/>
          <w:szCs w:val="21"/>
        </w:rPr>
        <w:t xml:space="preserve">comprendre plus précisément pourquoi Central surperforme (mix produit, stratégie tarifaire, volume de commandes) pour évaluer si ce modèle est réplicable dans les régions sous-performantes comme Oceania ou Central Asia.</w:t>
      </w:r>
    </w:p>
    <w:p>
      <w:pPr>
        <w:pStyle w:val="ListParagraph"/>
        <w:numPr>
          <w:ilvl w:val="0"/>
          <w:numId w:val="2"/>
        </w:numPr>
        <w:spacing w:after="120"/>
        <w:jc w:val="both"/>
      </w:pPr>
      <w:r>
        <w:rPr>
          <w:b/>
          <w:bCs/>
          <w:color w:val="2B2B2B"/>
          <w:sz w:val="21"/>
          <w:szCs w:val="21"/>
        </w:rPr>
        <w:t xml:space="preserve">Nouveaux KPI et mesures DAX — </w:t>
      </w:r>
      <w:r>
        <w:rPr>
          <w:b w:val="false"/>
          <w:bCs w:val="false"/>
          <w:color w:val="2B2B2B"/>
          <w:sz w:val="21"/>
          <w:szCs w:val="21"/>
        </w:rPr>
        <w:t xml:space="preserve">formaliser des indicateurs absents du dashboard actuel, comme la croissance des ventes et du profit d'une année sur l'autre, le nombre de commandes ou produits générant des pertes, et la remise moyenne appliquée.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2026-08-19T01:00:41.886Z</dcterms:created>
  <dcterms:modified xsi:type="dcterms:W3CDTF">2026-08-19T01:00:41.887Z</dcterms:modified>
</cp:coreProperties>
</file>

<file path=docProps/custom.xml><?xml version="1.0" encoding="utf-8"?>
<Properties xmlns="http://schemas.openxmlformats.org/officeDocument/2006/custom-properties" xmlns:vt="http://schemas.openxmlformats.org/officeDocument/2006/docPropsVTypes"/>
</file>