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center"/>
      </w:pPr>
      <w:r>
        <w:rPr>
          <w:b/>
          <w:color w:val="145A32"/>
          <w:sz w:val="56"/>
        </w:rPr>
        <w:t>LNTB</w:t>
      </w:r>
    </w:p>
    <w:p>
      <w:pPr>
        <w:jc w:val="center"/>
      </w:pPr>
      <w:r>
        <w:rPr>
          <w:color w:val="1F4E78"/>
          <w:sz w:val="26"/>
        </w:rPr>
        <w:t>Leading Next-Gen Tomato Business</w:t>
      </w:r>
    </w:p>
    <w:p>
      <w:pPr>
        <w:spacing w:before="480"/>
        <w:jc w:val="center"/>
      </w:pPr>
      <w:r>
        <w:rPr>
          <w:b/>
          <w:color w:val="1F4E78"/>
          <w:sz w:val="44"/>
        </w:rPr>
        <w:t>UX, Localization and Accessibility Specification</w:t>
      </w:r>
    </w:p>
    <w:p>
      <w:pPr>
        <w:jc w:val="center"/>
      </w:pPr>
      <w:r>
        <w:rPr>
          <w:rFonts w:eastAsia="Noto Sans Khmer"/>
          <w:color w:val="1E8449"/>
          <w:sz w:val="26"/>
        </w:rPr>
        <w:t>លក្ខណៈ UX ភាសាខ្មែរ និងភាពងាយស្រួលប្រើប្រាស់</w:t>
      </w:r>
    </w:p>
    <w:p>
      <w:pPr>
        <w:spacing w:before="320"/>
        <w:jc w:val="center"/>
      </w:pPr>
      <w:r>
        <w:rPr>
          <w:b/>
          <w:sz w:val="24"/>
        </w:rPr>
        <w:t>PLC &amp; SDLC Documentation Pack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Document ID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LNTB-UX-001</w:t>
            </w:r>
          </w:p>
        </w:tc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Version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1.0</w:t>
            </w:r>
          </w:p>
        </w:tc>
      </w:tr>
      <w:tr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Status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Baseline for implementation</w:t>
            </w:r>
          </w:p>
        </w:tc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Date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2026-07-11</w:t>
            </w:r>
          </w:p>
        </w:tc>
      </w:tr>
      <w:tr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Owner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UX Lead / Mobile Lead</w:t>
            </w:r>
          </w:p>
        </w:tc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Reviewer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Technical Lead / QA Lead</w:t>
            </w:r>
          </w:p>
        </w:tc>
      </w:tr>
      <w:tr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Approver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Project Sponsor / Academic Supervisor</w:t>
            </w:r>
          </w:p>
        </w:tc>
        <w:tc>
          <w:tcPr>
            <w:tcW w:type="dxa" w:w="2466"/>
            <w:shd w:fill="E8F5E9"/>
            <w:vAlign w:val="center"/>
          </w:tcPr>
          <w:p>
            <w:r/>
            <w:r>
              <w:rPr>
                <w:rFonts w:ascii="Arial" w:hAnsi="Arial" w:eastAsia="Noto Sans Khmer"/>
                <w:b/>
                <w:color w:val="145A32"/>
                <w:sz w:val="16"/>
              </w:rPr>
              <w:t>Classification</w:t>
            </w:r>
          </w:p>
        </w:tc>
        <w:tc>
          <w:tcPr>
            <w:tcW w:type="dxa" w:w="2466"/>
            <w:vAlign w:val="center"/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Project Internal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D9EAF7"/>
            <w:tcBorders>
              <w:left w:val="single" w:sz="18" w:color="145A32"/>
            </w:tcBorders>
          </w:tcPr>
          <w:p>
            <w:r>
              <w:rPr>
                <w:rFonts w:ascii="Arial" w:hAnsi="Arial" w:eastAsia="Noto Sans Khmer"/>
                <w:sz w:val="18"/>
              </w:rPr>
            </w:r>
            <w:r>
              <w:rPr>
                <w:rFonts w:ascii="Arial" w:hAnsi="Arial" w:eastAsia="Noto Sans Khmer"/>
                <w:b/>
                <w:color w:val="1F4E78"/>
                <w:sz w:val="18"/>
              </w:rPr>
              <w:t xml:space="preserve">Document purpose — </w:t>
            </w:r>
            <w:r>
              <w:rPr>
                <w:rFonts w:ascii="Arial" w:hAnsi="Arial" w:eastAsia="Noto Sans Khmer"/>
                <w:sz w:val="18"/>
              </w:rPr>
              <w:t>This controlled document defines the approved baseline for the LNTB pilot. Changes are managed through the Change Register and must preserve traceability to requirements, design, tests and acceptance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964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1247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1701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Author/Owner</w:t>
            </w:r>
          </w:p>
        </w:tc>
        <w:tc>
          <w:tcPr>
            <w:tcW w:type="dxa" w:w="4082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Change Summary</w:t>
            </w:r>
          </w:p>
        </w:tc>
        <w:tc>
          <w:tcPr>
            <w:tcW w:type="dxa" w:w="1247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96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0.1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2026-07-11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LNTB Project Team</w:t>
            </w:r>
          </w:p>
        </w:tc>
        <w:tc>
          <w:tcPr>
            <w:tcW w:type="dxa" w:w="40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Initial controlled draft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Draft</w:t>
            </w:r>
          </w:p>
        </w:tc>
      </w:tr>
      <w:tr>
        <w:tc>
          <w:tcPr>
            <w:tcW w:type="dxa" w:w="96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2026-07-11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LNTB Project Team</w:t>
            </w:r>
          </w:p>
        </w:tc>
        <w:tc>
          <w:tcPr>
            <w:tcW w:type="dxa" w:w="408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PLC/SDLC baseline for implementation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Baseline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Approvals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2381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1701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Name</w:t>
            </w:r>
          </w:p>
        </w:tc>
        <w:tc>
          <w:tcPr>
            <w:tcW w:type="dxa" w:w="1247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1247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3118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Signature / Evidence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Project Sponsor / Supervisor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Pending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311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Meeting minutes or signed copy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Project Manager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Pending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311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Change/approval record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Technical Lead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Pending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311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Architecture review record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QA Lead</w:t>
            </w:r>
          </w:p>
        </w:tc>
        <w:tc>
          <w:tcPr>
            <w:tcW w:type="dxa" w:w="170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Pending</w:t>
            </w:r>
          </w:p>
        </w:tc>
        <w:tc>
          <w:tcPr>
            <w:tcW w:type="dxa" w:w="124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TBD</w:t>
            </w:r>
          </w:p>
        </w:tc>
        <w:tc>
          <w:tcPr>
            <w:tcW w:type="dxa" w:w="311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6"/>
              </w:rPr>
              <w:t>Quality gate record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Experience Goals</w:t>
      </w:r>
    </w:p>
    <w:p>
      <w:pPr>
        <w:pStyle w:val="ListBullet"/>
        <w:spacing w:after="60"/>
      </w:pPr>
      <w:r>
        <w:t>A farmer understands current farm status quickly without reading dense technical text.</w:t>
      </w:r>
    </w:p>
    <w:p>
      <w:pPr>
        <w:pStyle w:val="ListBullet"/>
        <w:spacing w:after="60"/>
      </w:pPr>
      <w:r>
        <w:t>Controls communicate risk, confirmation, progress and final outcome clearly.</w:t>
      </w:r>
    </w:p>
    <w:p>
      <w:pPr>
        <w:pStyle w:val="ListBullet"/>
        <w:spacing w:after="60"/>
      </w:pPr>
      <w:r>
        <w:t>Offline/stale data is never mistaken for live data.</w:t>
      </w:r>
    </w:p>
    <w:p>
      <w:pPr>
        <w:pStyle w:val="ListBullet"/>
        <w:spacing w:after="60"/>
      </w:pPr>
      <w:r>
        <w:t>Measured resource data is distinguishable from estimates.</w:t>
      </w:r>
    </w:p>
    <w:p>
      <w:pPr>
        <w:pStyle w:val="ListBullet"/>
        <w:spacing w:after="60"/>
      </w:pPr>
      <w:r>
        <w:t>Khmer terminology is consistent, field-tested and not embedded directly in source widgets.</w:t>
      </w:r>
    </w:p>
    <w:p>
      <w:pPr>
        <w:pStyle w:val="ListBullet"/>
        <w:spacing w:after="60"/>
      </w:pPr>
      <w:r>
        <w:t>Core flows remain usable with scalable text, limited color perception and low-end Android hardware.</w:t>
      </w:r>
    </w:p>
    <w:p>
      <w:pPr>
        <w:pStyle w:val="Heading1"/>
        <w:keepNext/>
      </w:pPr>
      <w:r>
        <w:t>2. Primary Personas and Critical Tasks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871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Persona</w:t>
            </w:r>
          </w:p>
        </w:tc>
        <w:tc>
          <w:tcPr>
            <w:tcW w:type="dxa" w:w="2381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Context</w:t>
            </w:r>
          </w:p>
        </w:tc>
        <w:tc>
          <w:tcPr>
            <w:tcW w:type="dxa" w:w="2835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Critical Tasks</w:t>
            </w:r>
          </w:p>
        </w:tc>
        <w:tc>
          <w:tcPr>
            <w:tcW w:type="dxa" w:w="2551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Design Response</w:t>
            </w:r>
          </w:p>
        </w:tc>
      </w:tr>
      <w:tr>
        <w:tc>
          <w:tcPr>
            <w:tcW w:type="dxa" w:w="187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Farmer operator</w:t>
            </w:r>
          </w:p>
        </w:tc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Checks phone briefly while away from net house</w:t>
            </w:r>
          </w:p>
        </w:tc>
        <w:tc>
          <w:tcPr>
            <w:tcW w:type="dxa" w:w="28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Read status, respond to alert, start/stop irrigation, see harvest readiness</w:t>
            </w:r>
          </w:p>
        </w:tc>
        <w:tc>
          <w:tcPr>
            <w:tcW w:type="dxa" w:w="255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Large status cards, Khmer labels, icons, minimal steps, confirmation and clear outcome</w:t>
            </w:r>
          </w:p>
        </w:tc>
      </w:tr>
      <w:tr>
        <w:tc>
          <w:tcPr>
            <w:tcW w:type="dxa" w:w="187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Farm manager</w:t>
            </w:r>
          </w:p>
        </w:tc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Reviews costs and adjusts approved settings</w:t>
            </w:r>
          </w:p>
        </w:tc>
        <w:tc>
          <w:tcPr>
            <w:tcW w:type="dxa" w:w="28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Compare periods, inspect logs, update threshold/tariff</w:t>
            </w:r>
          </w:p>
        </w:tc>
        <w:tc>
          <w:tcPr>
            <w:tcW w:type="dxa" w:w="255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Filterable summaries, units, effective date and audit confirmation</w:t>
            </w:r>
          </w:p>
        </w:tc>
      </w:tr>
      <w:tr>
        <w:tc>
          <w:tcPr>
            <w:tcW w:type="dxa" w:w="187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Technician / support</w:t>
            </w:r>
          </w:p>
        </w:tc>
        <w:tc>
          <w:tcPr>
            <w:tcW w:type="dxa" w:w="238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Troubleshoots device and synchronization</w:t>
            </w:r>
          </w:p>
        </w:tc>
        <w:tc>
          <w:tcPr>
            <w:tcW w:type="dxa" w:w="28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Check freshness, device status, firmware and errors</w:t>
            </w:r>
          </w:p>
        </w:tc>
        <w:tc>
          <w:tcPr>
            <w:tcW w:type="dxa" w:w="2551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Diagnostics screen protected by role; copyable IDs and timestamps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Information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154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Destination</w:t>
            </w:r>
          </w:p>
        </w:tc>
        <w:tc>
          <w:tcPr>
            <w:tcW w:type="dxa" w:w="6066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Content / Actions</w:t>
            </w:r>
          </w:p>
        </w:tc>
        <w:tc>
          <w:tcPr>
            <w:tcW w:type="dxa" w:w="1417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Priority</w:t>
            </w:r>
          </w:p>
        </w:tc>
      </w:tr>
      <w:tr>
        <w:tc>
          <w:tcPr>
            <w:tcW w:type="dxa" w:w="215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Home / Dashboard</w:t>
            </w:r>
          </w:p>
        </w:tc>
        <w:tc>
          <w:tcPr>
            <w:tcW w:type="dxa" w:w="606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Farm selector (future), online/stale status, moisture, climate, light, active irrigation, latest alert</w:t>
            </w:r>
          </w:p>
        </w:tc>
        <w:tc>
          <w:tcPr>
            <w:tcW w:type="dxa" w:w="14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Primary</w:t>
            </w:r>
          </w:p>
        </w:tc>
      </w:tr>
      <w:tr>
        <w:tc>
          <w:tcPr>
            <w:tcW w:type="dxa" w:w="215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Irrigation</w:t>
            </w:r>
          </w:p>
        </w:tc>
        <w:tc>
          <w:tcPr>
            <w:tcW w:type="dxa" w:w="606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Mode, threshold, current event, manual start/stop, last events, safety limit</w:t>
            </w:r>
          </w:p>
        </w:tc>
        <w:tc>
          <w:tcPr>
            <w:tcW w:type="dxa" w:w="14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Primary</w:t>
            </w:r>
          </w:p>
        </w:tc>
      </w:tr>
      <w:tr>
        <w:tc>
          <w:tcPr>
            <w:tcW w:type="dxa" w:w="215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Ripeness</w:t>
            </w:r>
          </w:p>
        </w:tc>
        <w:tc>
          <w:tcPr>
            <w:tcW w:type="dxa" w:w="606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Latest capture/result, image, confidence, ready status, history and review guidance</w:t>
            </w:r>
          </w:p>
        </w:tc>
        <w:tc>
          <w:tcPr>
            <w:tcW w:type="dxa" w:w="14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Primary</w:t>
            </w:r>
          </w:p>
        </w:tc>
      </w:tr>
      <w:tr>
        <w:tc>
          <w:tcPr>
            <w:tcW w:type="dxa" w:w="215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Usage &amp; Cost</w:t>
            </w:r>
          </w:p>
        </w:tc>
        <w:tc>
          <w:tcPr>
            <w:tcW w:type="dxa" w:w="606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Today/month/season water, energy, costs, measured/estimated badges and comparison</w:t>
            </w:r>
          </w:p>
        </w:tc>
        <w:tc>
          <w:tcPr>
            <w:tcW w:type="dxa" w:w="14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Primary</w:t>
            </w:r>
          </w:p>
        </w:tc>
      </w:tr>
      <w:tr>
        <w:tc>
          <w:tcPr>
            <w:tcW w:type="dxa" w:w="215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Logbook</w:t>
            </w:r>
          </w:p>
        </w:tc>
        <w:tc>
          <w:tcPr>
            <w:tcW w:type="dxa" w:w="606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Unified filterable timeline for readings, irrigation, alerts, ripeness and settings</w:t>
            </w:r>
          </w:p>
        </w:tc>
        <w:tc>
          <w:tcPr>
            <w:tcW w:type="dxa" w:w="14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Secondary</w:t>
            </w:r>
          </w:p>
        </w:tc>
      </w:tr>
      <w:tr>
        <w:tc>
          <w:tcPr>
            <w:tcW w:type="dxa" w:w="215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Notifications</w:t>
            </w:r>
          </w:p>
        </w:tc>
        <w:tc>
          <w:tcPr>
            <w:tcW w:type="dxa" w:w="606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Unread/read alerts, severity, timestamp and deep link</w:t>
            </w:r>
          </w:p>
        </w:tc>
        <w:tc>
          <w:tcPr>
            <w:tcW w:type="dxa" w:w="14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Secondary</w:t>
            </w:r>
          </w:p>
        </w:tc>
      </w:tr>
      <w:tr>
        <w:tc>
          <w:tcPr>
            <w:tcW w:type="dxa" w:w="215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Settings</w:t>
            </w:r>
          </w:p>
        </w:tc>
        <w:tc>
          <w:tcPr>
            <w:tcW w:type="dxa" w:w="606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Profile, farm settings, tariffs, thresholds, notification preferences, sign out</w:t>
            </w:r>
          </w:p>
        </w:tc>
        <w:tc>
          <w:tcPr>
            <w:tcW w:type="dxa" w:w="1417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Secondary / role-controlled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Dashboard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268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4706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Required Content</w:t>
            </w:r>
          </w:p>
        </w:tc>
        <w:tc>
          <w:tcPr>
            <w:tcW w:type="dxa" w:w="2665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Behavior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Connectivity banner</w:t>
            </w:r>
          </w:p>
        </w:tc>
        <w:tc>
          <w:tcPr>
            <w:tcW w:type="dxa" w:w="470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Online/offline; last successful sync; pending upload/command count</w:t>
            </w:r>
          </w:p>
        </w:tc>
        <w:tc>
          <w:tcPr>
            <w:tcW w:type="dxa" w:w="266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Persistent when offline/stale; tap for details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Farm health summary</w:t>
            </w:r>
          </w:p>
        </w:tc>
        <w:tc>
          <w:tcPr>
            <w:tcW w:type="dxa" w:w="470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Normal/warning/critical label + icon + short Khmer action text</w:t>
            </w:r>
          </w:p>
        </w:tc>
        <w:tc>
          <w:tcPr>
            <w:tcW w:type="dxa" w:w="266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Never rely on color alone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Moisture card</w:t>
            </w:r>
          </w:p>
        </w:tc>
        <w:tc>
          <w:tcPr>
            <w:tcW w:type="dxa" w:w="470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Value %, target range, trend/freshness, sensor quality</w:t>
            </w:r>
          </w:p>
        </w:tc>
        <w:tc>
          <w:tcPr>
            <w:tcW w:type="dxa" w:w="266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Unknown shown as “No reliable reading”, not zero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Climate/light cards</w:t>
            </w:r>
          </w:p>
        </w:tc>
        <w:tc>
          <w:tcPr>
            <w:tcW w:type="dxa" w:w="470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Value, unit, updated time and status</w:t>
            </w:r>
          </w:p>
        </w:tc>
        <w:tc>
          <w:tcPr>
            <w:tcW w:type="dxa" w:w="266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Avoid unsupported agronomic recommendations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Irrigation card</w:t>
            </w:r>
          </w:p>
        </w:tc>
        <w:tc>
          <w:tcPr>
            <w:tcW w:type="dxa" w:w="470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Mode, pump state, elapsed/max runtime, last outcome</w:t>
            </w:r>
          </w:p>
        </w:tc>
        <w:tc>
          <w:tcPr>
            <w:tcW w:type="dxa" w:w="266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Stop action visually prominent while running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Latest ripeness card</w:t>
            </w:r>
          </w:p>
        </w:tc>
        <w:tc>
          <w:tcPr>
            <w:tcW w:type="dxa" w:w="470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Thumbnail, class, confidence, capture/model time</w:t>
            </w:r>
          </w:p>
        </w:tc>
        <w:tc>
          <w:tcPr>
            <w:tcW w:type="dxa" w:w="266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Open detail; show review guidance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Usage card</w:t>
            </w:r>
          </w:p>
        </w:tc>
        <w:tc>
          <w:tcPr>
            <w:tcW w:type="dxa" w:w="470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Water m³, energy kWh, cost USD and source badge</w:t>
            </w:r>
          </w:p>
        </w:tc>
        <w:tc>
          <w:tcPr>
            <w:tcW w:type="dxa" w:w="266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Measured vs estimated explicit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Status Semantics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814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State</w:t>
            </w:r>
          </w:p>
        </w:tc>
        <w:tc>
          <w:tcPr>
            <w:tcW w:type="dxa" w:w="2948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Visual Treatment</w:t>
            </w:r>
          </w:p>
        </w:tc>
        <w:tc>
          <w:tcPr>
            <w:tcW w:type="dxa" w:w="4876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Text / Icon Requirement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Normal</w:t>
            </w:r>
          </w:p>
        </w:tc>
        <w:tc>
          <w:tcPr>
            <w:tcW w:type="dxa" w:w="294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Green-compatible accent</w:t>
            </w:r>
          </w:p>
        </w:tc>
        <w:tc>
          <w:tcPr>
            <w:tcW w:type="dxa" w:w="487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Check/leaf icon + Khmer “Normal” label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Warning</w:t>
            </w:r>
          </w:p>
        </w:tc>
        <w:tc>
          <w:tcPr>
            <w:tcW w:type="dxa" w:w="294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Amber-compatible accent</w:t>
            </w:r>
          </w:p>
        </w:tc>
        <w:tc>
          <w:tcPr>
            <w:tcW w:type="dxa" w:w="487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Warning icon + clear action/condition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Critical</w:t>
            </w:r>
          </w:p>
        </w:tc>
        <w:tc>
          <w:tcPr>
            <w:tcW w:type="dxa" w:w="294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Red-compatible accent</w:t>
            </w:r>
          </w:p>
        </w:tc>
        <w:tc>
          <w:tcPr>
            <w:tcW w:type="dxa" w:w="487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Alert icon + immediate safe action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Unknown</w:t>
            </w:r>
          </w:p>
        </w:tc>
        <w:tc>
          <w:tcPr>
            <w:tcW w:type="dxa" w:w="294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Neutral gray</w:t>
            </w:r>
          </w:p>
        </w:tc>
        <w:tc>
          <w:tcPr>
            <w:tcW w:type="dxa" w:w="487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Question/offline icon + “No reliable data”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Stale</w:t>
            </w:r>
          </w:p>
        </w:tc>
        <w:tc>
          <w:tcPr>
            <w:tcW w:type="dxa" w:w="294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Neutral banner/card overlay</w:t>
            </w:r>
          </w:p>
        </w:tc>
        <w:tc>
          <w:tcPr>
            <w:tcW w:type="dxa" w:w="487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Clock icon + last updated timestamp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Pending</w:t>
            </w:r>
          </w:p>
        </w:tc>
        <w:tc>
          <w:tcPr>
            <w:tcW w:type="dxa" w:w="294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Progress indicator</w:t>
            </w:r>
          </w:p>
        </w:tc>
        <w:tc>
          <w:tcPr>
            <w:tcW w:type="dxa" w:w="487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Queued/sending/waiting for device label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Failed</w:t>
            </w:r>
          </w:p>
        </w:tc>
        <w:tc>
          <w:tcPr>
            <w:tcW w:type="dxa" w:w="294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Error state</w:t>
            </w:r>
          </w:p>
        </w:tc>
        <w:tc>
          <w:tcPr>
            <w:tcW w:type="dxa" w:w="4876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Reason, safe retry guidance and support reference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Irrigation Interaction</w:t>
      </w:r>
    </w:p>
    <w:p>
      <w:pPr>
        <w:pStyle w:val="ListNumber"/>
        <w:spacing w:after="60"/>
      </w:pPr>
      <w:r>
        <w:t>Show mode, reliable moisture value, device status, current pump state and maximum runtime before presenting control.</w:t>
      </w:r>
    </w:p>
    <w:p>
      <w:pPr>
        <w:pStyle w:val="ListNumber"/>
        <w:spacing w:after="60"/>
      </w:pPr>
      <w:r>
        <w:t>On Start, request confirmation with farm/device and maximum duration. Do not use vague “OK”.</w:t>
      </w:r>
    </w:p>
    <w:p>
      <w:pPr>
        <w:pStyle w:val="ListNumber"/>
        <w:spacing w:after="60"/>
      </w:pPr>
      <w:r>
        <w:t>Submit once with idempotency key; disable duplicate submission while state is unresolved.</w:t>
      </w:r>
    </w:p>
    <w:p>
      <w:pPr>
        <w:pStyle w:val="ListNumber"/>
        <w:spacing w:after="60"/>
      </w:pPr>
      <w:r>
        <w:t>Show state progression: queued → delivered → running → completed, or failed/expired with reason.</w:t>
      </w:r>
    </w:p>
    <w:p>
      <w:pPr>
        <w:pStyle w:val="ListNumber"/>
        <w:spacing w:after="60"/>
      </w:pPr>
      <w:r>
        <w:t>While running, keep Stop visible and display elapsed/max time. A stale app state must refresh authoritative server state.</w:t>
      </w:r>
    </w:p>
    <w:p>
      <w:pPr>
        <w:pStyle w:val="ListNumber"/>
        <w:spacing w:after="60"/>
      </w:pPr>
      <w:r>
        <w:t>Completion shows duration, water, energy, cost, measured/estimated origin and logbook link.</w:t>
      </w:r>
    </w:p>
    <w:p>
      <w:pPr>
        <w:pStyle w:val="Heading1"/>
        <w:keepNext/>
      </w:pPr>
      <w:r>
        <w:t>7. Khmer Localization Standard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1984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7654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Specification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Source</w:t>
            </w:r>
          </w:p>
        </w:tc>
        <w:tc>
          <w:tcPr>
            <w:tcW w:type="dxa" w:w="765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All user-facing strings use Flutter localization ARB files; no hardcoded production text in widgets/services.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Keys</w:t>
            </w:r>
          </w:p>
        </w:tc>
        <w:tc>
          <w:tcPr>
            <w:tcW w:type="dxa" w:w="765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Semantic stable keys such as dashboard_soil_moisture_label; avoid English sentence as key.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Variables</w:t>
            </w:r>
          </w:p>
        </w:tc>
        <w:tc>
          <w:tcPr>
            <w:tcW w:type="dxa" w:w="765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Use ICU placeholders/plurals/date/number formatting; include units consistently.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Terminology</w:t>
            </w:r>
          </w:p>
        </w:tc>
        <w:tc>
          <w:tcPr>
            <w:tcW w:type="dxa" w:w="765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Maintain approved Khmer glossary for irrigation, moisture, ripeness, energy, cost, offline and safety.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Review</w:t>
            </w:r>
          </w:p>
        </w:tc>
        <w:tc>
          <w:tcPr>
            <w:tcW w:type="dxa" w:w="765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Native Khmer reviewer checks clarity in screenshots and real devices; literal translation alone is insufficient.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Fallback</w:t>
            </w:r>
          </w:p>
        </w:tc>
        <w:tc>
          <w:tcPr>
            <w:tcW w:type="dxa" w:w="765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Development fallback may be English, but release completeness check blocks missing Khmer keys.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Fonts</w:t>
            </w:r>
          </w:p>
        </w:tc>
        <w:tc>
          <w:tcPr>
            <w:tcW w:type="dxa" w:w="765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Use a bundled/system-supported Khmer font with tested glyph coverage; do not distribute font files as project artifacts.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Accessibility</w:t>
      </w:r>
    </w:p>
    <w:p>
      <w:pPr>
        <w:pStyle w:val="ListBullet"/>
        <w:spacing w:after="60"/>
      </w:pPr>
      <w:r>
        <w:t>Provide semantic labels, roles and state for cards, controls, alerts and charts.</w:t>
      </w:r>
    </w:p>
    <w:p>
      <w:pPr>
        <w:pStyle w:val="ListBullet"/>
        <w:spacing w:after="60"/>
      </w:pPr>
      <w:r>
        <w:t>Minimum touch target approximately 48 × 48 logical pixels for core actions; sufficient spacing prevents accidental pump control.</w:t>
      </w:r>
    </w:p>
    <w:p>
      <w:pPr>
        <w:pStyle w:val="ListBullet"/>
        <w:spacing w:after="60"/>
      </w:pPr>
      <w:r>
        <w:t>Support text scaling without clipping at the agreed Android accessibility settings.</w:t>
      </w:r>
    </w:p>
    <w:p>
      <w:pPr>
        <w:pStyle w:val="ListBullet"/>
        <w:spacing w:after="60"/>
      </w:pPr>
      <w:r>
        <w:t>Use color plus label and icon; maintain readable contrast; do not encode measured/estimated only by color.</w:t>
      </w:r>
    </w:p>
    <w:p>
      <w:pPr>
        <w:pStyle w:val="ListBullet"/>
        <w:spacing w:after="60"/>
      </w:pPr>
      <w:r>
        <w:t>Provide logical focus order and accessible confirmation/error messages.</w:t>
      </w:r>
    </w:p>
    <w:p>
      <w:pPr>
        <w:pStyle w:val="ListBullet"/>
        <w:spacing w:after="60"/>
      </w:pPr>
      <w:r>
        <w:t>Charts have textual summaries and values; images have meaningful descriptions when content-bearing.</w:t>
      </w:r>
    </w:p>
    <w:p>
      <w:pPr>
        <w:pStyle w:val="ListBullet"/>
        <w:spacing w:after="60"/>
      </w:pPr>
      <w:r>
        <w:t>Reduce or avoid non-essential motion and provide progress that does not depend on animation alone.</w:t>
      </w:r>
    </w:p>
    <w:p>
      <w:pPr>
        <w:pStyle w:val="Heading1"/>
        <w:keepNext/>
      </w:pPr>
      <w:r>
        <w:t>9. Offline-First and Error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835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6803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Required UX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No network on launch</w:t>
            </w:r>
          </w:p>
        </w:tc>
        <w:tc>
          <w:tcPr>
            <w:tcW w:type="dxa" w:w="680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Open cached last-known state with prominent offline and timestamp indicators; safe browsing remains available.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Telemetry stale</w:t>
            </w:r>
          </w:p>
        </w:tc>
        <w:tc>
          <w:tcPr>
            <w:tcW w:type="dxa" w:w="680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Show stale/unknown status and last update; do not recommend action from an unreliable value.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Command queued</w:t>
            </w:r>
          </w:p>
        </w:tc>
        <w:tc>
          <w:tcPr>
            <w:tcW w:type="dxa" w:w="680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Show pending state and expiry; explain that device has not yet confirmed execution.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Command ambiguous after timeout</w:t>
            </w:r>
          </w:p>
        </w:tc>
        <w:tc>
          <w:tcPr>
            <w:tcW w:type="dxa" w:w="680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Refresh authoritative state; do not automatically resubmit start command.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Upload/sync pending</w:t>
            </w:r>
          </w:p>
        </w:tc>
        <w:tc>
          <w:tcPr>
            <w:tcW w:type="dxa" w:w="680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Show count/status in diagnostics; retry automatically with bounded backoff.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No history/results</w:t>
            </w:r>
          </w:p>
        </w:tc>
        <w:tc>
          <w:tcPr>
            <w:tcW w:type="dxa" w:w="680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Explain why empty and provide relevant next action, not a blank screen.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Validation error</w:t>
            </w:r>
          </w:p>
        </w:tc>
        <w:tc>
          <w:tcPr>
            <w:tcW w:type="dxa" w:w="680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Field-level Khmer message that preserves entered values.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Server error</w:t>
            </w:r>
          </w:p>
        </w:tc>
        <w:tc>
          <w:tcPr>
            <w:tcW w:type="dxa" w:w="6803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Safe concise message, retry action and correlation/support reference where appropriate.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 Usability and Release Acceptance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948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Criterion</w:t>
            </w:r>
          </w:p>
        </w:tc>
        <w:tc>
          <w:tcPr>
            <w:tcW w:type="dxa" w:w="6690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Pass Condition</w:t>
            </w:r>
          </w:p>
        </w:tc>
      </w:tr>
      <w:tr>
        <w:tc>
          <w:tcPr>
            <w:tcW w:type="dxa" w:w="294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Status recognition</w:t>
            </w:r>
          </w:p>
        </w:tc>
        <w:tc>
          <w:tcPr>
            <w:tcW w:type="dxa" w:w="669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At least 80% of representative pilot users identify normal/warning/critical status within 5 seconds after training.</w:t>
            </w:r>
          </w:p>
        </w:tc>
      </w:tr>
      <w:tr>
        <w:tc>
          <w:tcPr>
            <w:tcW w:type="dxa" w:w="294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Manual irrigation</w:t>
            </w:r>
          </w:p>
        </w:tc>
        <w:tc>
          <w:tcPr>
            <w:tcW w:type="dxa" w:w="669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Users complete start and stop with no unsafe duplicate action; command state is correctly understood.</w:t>
            </w:r>
          </w:p>
        </w:tc>
      </w:tr>
      <w:tr>
        <w:tc>
          <w:tcPr>
            <w:tcW w:type="dxa" w:w="294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Offline comprehension</w:t>
            </w:r>
          </w:p>
        </w:tc>
        <w:tc>
          <w:tcPr>
            <w:tcW w:type="dxa" w:w="669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Users correctly identify that displayed readings are cached/stale.</w:t>
            </w:r>
          </w:p>
        </w:tc>
      </w:tr>
      <w:tr>
        <w:tc>
          <w:tcPr>
            <w:tcW w:type="dxa" w:w="294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Usage comprehension</w:t>
            </w:r>
          </w:p>
        </w:tc>
        <w:tc>
          <w:tcPr>
            <w:tcW w:type="dxa" w:w="669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Users distinguish measured and estimated values and can locate month history.</w:t>
            </w:r>
          </w:p>
        </w:tc>
      </w:tr>
      <w:tr>
        <w:tc>
          <w:tcPr>
            <w:tcW w:type="dxa" w:w="294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Khmer quality</w:t>
            </w:r>
          </w:p>
        </w:tc>
        <w:tc>
          <w:tcPr>
            <w:tcW w:type="dxa" w:w="669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No missing/localization placeholder; glossary terms approved by reviewer and farmer representative.</w:t>
            </w:r>
          </w:p>
        </w:tc>
      </w:tr>
      <w:tr>
        <w:tc>
          <w:tcPr>
            <w:tcW w:type="dxa" w:w="294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Accessibility</w:t>
            </w:r>
          </w:p>
        </w:tc>
        <w:tc>
          <w:tcPr>
            <w:tcW w:type="dxa" w:w="669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Core flow passes semantics review, text-scaling screenshot test, touch-target review and non-color status test.</w:t>
            </w:r>
          </w:p>
        </w:tc>
      </w:tr>
      <w:tr>
        <w:tc>
          <w:tcPr>
            <w:tcW w:type="dxa" w:w="2948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Performance</w:t>
            </w:r>
          </w:p>
        </w:tc>
        <w:tc>
          <w:tcPr>
            <w:tcW w:type="dxa" w:w="6690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5"/>
              </w:rPr>
              <w:t>Dashboard becomes usable within agreed time on the selected low-end Android reference device.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Authoritative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134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ID</w:t>
            </w:r>
          </w:p>
        </w:tc>
        <w:tc>
          <w:tcPr>
            <w:tcW w:type="dxa" w:w="3402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5102"/>
            <w:shd w:fill="145A3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Khmer"/>
                <w:b/>
                <w:color w:val="FFFFFF"/>
                <w:sz w:val="17"/>
              </w:rPr>
              <w:t>Use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SRC-01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LNTB Khmer proposal</w:t>
            </w:r>
          </w:p>
        </w:tc>
        <w:tc>
          <w:tcPr>
            <w:tcW w:type="dxa" w:w="51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Goals, scope, BOM and timeline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SRC-02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LNTB requirements</w:t>
            </w:r>
          </w:p>
        </w:tc>
        <w:tc>
          <w:tcPr>
            <w:tcW w:type="dxa" w:w="51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Functional/non-functional baseline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SRC-03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LNTB project structure</w:t>
            </w:r>
          </w:p>
        </w:tc>
        <w:tc>
          <w:tcPr>
            <w:tcW w:type="dxa" w:w="51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Initial architecture, data and APIs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SRC-04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Official Laravel docs</w:t>
            </w:r>
          </w:p>
        </w:tc>
        <w:tc>
          <w:tcPr>
            <w:tcW w:type="dxa" w:w="51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Backend implementation baseline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SRC-05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Official Flutter docs</w:t>
            </w:r>
          </w:p>
        </w:tc>
        <w:tc>
          <w:tcPr>
            <w:tcW w:type="dxa" w:w="51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Mobile architecture/quality baseline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SRC-06</w:t>
            </w:r>
          </w:p>
        </w:tc>
        <w:tc>
          <w:tcPr>
            <w:tcW w:type="dxa" w:w="34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Official Espressif docs</w:t>
            </w:r>
          </w:p>
        </w:tc>
        <w:tc>
          <w:tcPr>
            <w:tcW w:type="dxa" w:w="5102"/>
            <w:vAlign w:val="center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/>
            <w:r>
              <w:rPr>
                <w:rFonts w:ascii="Arial" w:hAnsi="Arial" w:eastAsia="Noto Sans Khmer"/>
                <w:b w:val="0"/>
                <w:color w:val="000000"/>
                <w:sz w:val="13"/>
              </w:rPr>
              <w:t>ESP32 hardware/network constraints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5"/>
      </w:rPr>
      <w:t xml:space="preserve">Version 1.0 | Baseline | 2026-07-11 | Page </w:t>
    </w:r>
    <w:r>
      <w:rPr>
        <w:rFonts w:ascii="Arial" w:hAnsi="Arial"/>
        <w:color w:val="666666"/>
        <w:sz w:val="15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932"/>
      <w:gridCol w:w="4932"/>
    </w:tblGrid>
    <w:tr>
      <w:tc>
        <w:tcPr>
          <w:tcW w:type="dxa" w:w="4932"/>
          <w:vAlign w:val="center"/>
          <w:tcBorders>
            <w:bottom w:val="single" w:sz="8" w:color="145A32"/>
          </w:tcBorders>
        </w:tcPr>
        <w:p>
          <w:r/>
          <w:r>
            <w:rPr>
              <w:rFonts w:ascii="Arial" w:hAnsi="Arial" w:eastAsia="Noto Sans Khmer"/>
              <w:b/>
              <w:color w:val="145A32"/>
              <w:sz w:val="15"/>
            </w:rPr>
            <w:t>LNTB | LNTB-UX-001</w:t>
          </w:r>
        </w:p>
      </w:tc>
      <w:tc>
        <w:tcPr>
          <w:tcW w:type="dxa" w:w="4932"/>
          <w:vAlign w:val="center"/>
          <w:tcBorders>
            <w:bottom w:val="single" w:sz="8" w:color="145A32"/>
          </w:tcBorders>
        </w:tcPr>
        <w:p>
          <w:pPr>
            <w:jc w:val="right"/>
          </w:pPr>
          <w:r/>
          <w:r>
            <w:rPr>
              <w:rFonts w:ascii="Arial" w:hAnsi="Arial" w:eastAsia="Noto Sans Khmer"/>
              <w:b w:val="0"/>
              <w:color w:val="666666"/>
              <w:sz w:val="15"/>
            </w:rPr>
            <w:t>UX, Localization and Accessibility Specification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Noto Sans Khme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eastAsia="Noto Sans Khmer"/>
      <w:b/>
      <w:bCs/>
      <w:color w:val="145A3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Noto Sans Khmer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Noto Sans Khmer"/>
      <w:b/>
      <w:bCs/>
      <w:color w:val="1E844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Arial" w:hAnsi="Arial" w:eastAsia="Noto Sans Khmer"/>
      <w:b/>
      <w:color w:val="1F4E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Noto Sans Khmer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Noto Sans Khmer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Noto Sans Khmer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Noto Sans Khmer"/>
      <w:sz w:val="19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i/>
      <w:color w:val="666666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