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9.png" ContentType="image/png"/>
  <Override PartName="/word/media/rId25.jpg" ContentType="image/jpeg"/>
  <Override PartName="/word/media/rId2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reef fish survey</w:t>
      </w:r>
    </w:p>
    <w:p>
      <w:pPr>
        <w:pStyle w:val="Compact"/>
        <w:numPr>
          <w:ilvl w:val="0"/>
          <w:numId w:val="1001"/>
        </w:numPr>
      </w:pPr>
      <w:r>
        <w:t xml:space="preserve">A fishery-independent index of abundance from a reef fish survey</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coefficient of variation on growth, and parameterization of hermaphroditism.</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low gradients, high variance, and likelihood profile diagnostics indicating discrepancies among the data and modeling structure. The SEDAR 84 assumptions require further assessment as the scenarios explored are not able to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was not likely to be undergoing overfishing in 2022.</w:t>
      </w:r>
    </w:p>
    <w:p>
      <w:r>
        <w:br w:type="page"/>
      </w:r>
    </w:p>
    <w:bookmarkEnd w:id="20"/>
    <w:bookmarkStart w:id="37" w:name="figures"/>
    <w:p>
      <w:pPr>
        <w:pStyle w:val="Heading1"/>
      </w:pPr>
      <w:r>
        <w:t xml:space="preserve">1. Figures</w:t>
      </w:r>
    </w:p>
    <w:tbl>
      <w:tblPr>
        <w:tblStyle w:val="Table"/>
        <w:tblW w:type="pct" w:w="5000"/>
        <w:tblLayout w:type="fixed"/>
        <w:tblLook w:firstRow="0" w:lastRow="0" w:firstColumn="0" w:lastColumn="0" w:noHBand="0" w:noVBand="0" w:val="0000"/>
      </w:tblPr>
      <w:tblGrid>
        <w:gridCol w:w="7920"/>
      </w:tblGrid>
      <w:tr>
        <w:tc>
          <w:tcPr/>
          <w:bookmarkStart w:id="24" w:name="fig-uscar"/>
          <w:p>
            <w:pPr>
              <w:pStyle w:val="Compact"/>
              <w:jc w:val="center"/>
            </w:pPr>
            <w:r>
              <w:drawing>
                <wp:inline>
                  <wp:extent cx="4206240" cy="5441823"/>
                  <wp:effectExtent b="0" l="0" r="0" t="0"/>
                  <wp:docPr descr="" title="" id="22" name="Picture"/>
                  <a:graphic>
                    <a:graphicData uri="http://schemas.openxmlformats.org/drawingml/2006/picture">
                      <pic:pic>
                        <pic:nvPicPr>
                          <pic:cNvPr descr="https://www.fisheries.noaa.gov/s3//styles/original/s3/dam-migration/island_group_management_areas.jpg?itok=5wvkxme2" id="23" name="Picture"/>
                          <pic:cNvPicPr>
                            <a:picLocks noChangeArrowheads="1" noChangeAspect="1"/>
                          </pic:cNvPicPr>
                        </pic:nvPicPr>
                        <pic:blipFill>
                          <a:blip r:embed="rId21"/>
                          <a:stretch>
                            <a:fillRect/>
                          </a:stretch>
                        </pic:blipFill>
                        <pic:spPr bwMode="auto">
                          <a:xfrm>
                            <a:off x="0" y="0"/>
                            <a:ext cx="4206240" cy="544182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4"/>
        </w:tc>
      </w:tr>
    </w:tbl>
    <w:p>
      <w:pPr>
        <w:pStyle w:val="BodyText"/>
      </w:pPr>
      <w:r>
        <w:br/>
      </w:r>
      <w:r>
        <w:br/>
      </w:r>
      <w:r>
        <w:br/>
      </w:r>
    </w:p>
    <w:tbl>
      <w:tblPr>
        <w:tblStyle w:val="Table"/>
        <w:tblW w:type="pct" w:w="5000"/>
        <w:tblLayout w:type="fixed"/>
        <w:tblLook w:firstRow="0" w:lastRow="0" w:firstColumn="0" w:lastColumn="0" w:noHBand="0" w:noVBand="0" w:val="0000"/>
      </w:tblPr>
      <w:tblGrid>
        <w:gridCol w:w="7920"/>
      </w:tblGrid>
      <w:tr>
        <w:tc>
          <w:tcPr/>
          <w:bookmarkStart w:id="28" w:name="fig-eez"/>
          <w:p>
            <w:pPr>
              <w:pStyle w:val="Compact"/>
              <w:jc w:val="center"/>
            </w:pPr>
            <w:r>
              <w:drawing>
                <wp:inline>
                  <wp:extent cx="5486400" cy="4238244"/>
                  <wp:effectExtent b="0" l="0" r="0" t="0"/>
                  <wp:docPr descr="" title="" id="26" name="Picture"/>
                  <a:graphic>
                    <a:graphicData uri="http://schemas.openxmlformats.org/drawingml/2006/picture">
                      <pic:pic>
                        <pic:nvPicPr>
                          <pic:cNvPr descr="https://www.fisheries.noaa.gov/s3//styles/original/s3/dam-migration/carib_map_stx.jpg?itok=yeYHZ8gy" id="27" name="Picture"/>
                          <pic:cNvPicPr>
                            <a:picLocks noChangeArrowheads="1" noChangeAspect="1"/>
                          </pic:cNvPicPr>
                        </pic:nvPicPr>
                        <pic:blipFill>
                          <a:blip r:embed="rId25"/>
                          <a:stretch>
                            <a:fillRect/>
                          </a:stretch>
                        </pic:blipFill>
                        <pic:spPr bwMode="auto">
                          <a:xfrm>
                            <a:off x="0" y="0"/>
                            <a:ext cx="5486400" cy="42382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8"/>
        </w:tc>
      </w:tr>
    </w:tbl>
    <w:p>
      <w:pPr>
        <w:pStyle w:val="BodyText"/>
      </w:pPr>
      <w:r>
        <w:br/>
      </w:r>
      <w:r>
        <w:br/>
      </w:r>
      <w:r>
        <w:br/>
      </w:r>
    </w:p>
    <w:bookmarkStart w:id="33" w:name="fig-par"/>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2" w:name="fig-r0"/>
                <w:p>
                  <w:pPr>
                    <w:pStyle w:val="Compact"/>
                    <w:jc w:val="center"/>
                    <w:jc w:val="left"/>
                  </w:pPr>
                  <w:r>
                    <w:drawing>
                      <wp:inline>
                        <wp:extent cx="2971800" cy="2228850"/>
                        <wp:effectExtent b="0" l="0" r="0" t="0"/>
                        <wp:docPr descr="" title="" id="30" name="Picture"/>
                        <a:graphic>
                          <a:graphicData uri="http://schemas.openxmlformats.org/drawingml/2006/picture">
                            <pic:pic>
                              <pic:nvPicPr>
                                <pic:cNvPr descr="Scenarios/compare16_densities_SR_LN(R0).png" id="31" name="Picture"/>
                                <pic:cNvPicPr>
                                  <a:picLocks noChangeArrowheads="1" noChangeAspect="1"/>
                                </pic:cNvPicPr>
                              </pic:nvPicPr>
                              <pic:blipFill>
                                <a:blip r:embed="rId29"/>
                                <a:stretch>
                                  <a:fillRect/>
                                </a:stretch>
                              </pic:blipFill>
                              <pic:spPr bwMode="auto">
                                <a:xfrm>
                                  <a:off x="0" y="0"/>
                                  <a:ext cx="2971800" cy="22288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Unfished recruitment (r0)</w:t>
                  </w:r>
                </w:p>
                <w:bookmarkEnd w:id="32"/>
              </w:tc>
            </w:tr>
          </w:tbl>
          <w:p/>
        </w:tc>
      </w:tr>
    </w:tbl>
    <w:p>
      <w:pPr>
        <w:pStyle w:val="BodyText"/>
      </w:pPr>
      <w:pPr>
        <w:spacing w:before="200"/>
        <w:pStyle w:val="ImageCaption"/>
      </w:pPr>
      <w:r>
        <w:t xml:space="preserve">Figure 1.3: St. Croix stoplight parrotfish Initial F profile.</w:t>
      </w:r>
    </w:p>
    <w:bookmarkEnd w:id="33"/>
    <w:bookmarkStart w:id="36" w:name="refs"/>
    <w:bookmarkStart w:id="35" w:name="ref-methot2020"/>
    <w:p>
      <w:pPr>
        <w:pStyle w:val="Bibliography"/>
      </w:pPr>
      <w:r>
        <w:t xml:space="preserve">Methot, R. D., Wetzel, C. R., Taylor, I. G., &amp; Doering, K. (2020). Stock synthesis user manual: Version 3.30.15.</w:t>
      </w:r>
      <w:r>
        <w:t xml:space="preserve"> </w:t>
      </w:r>
      <w:r>
        <w:rPr>
          <w:i/>
          <w:iCs/>
        </w:rPr>
        <w:t xml:space="preserve">Northwest Fisheries Science Center (U.S.)</w:t>
      </w:r>
      <w:r>
        <w:t xml:space="preserve">.</w:t>
      </w:r>
      <w:r>
        <w:t xml:space="preserve"> </w:t>
      </w:r>
      <w:hyperlink r:id="rId34">
        <w:r>
          <w:rPr>
            <w:rStyle w:val="Hyperlink"/>
          </w:rPr>
          <w:t xml:space="preserve">https://doi.org/10.25923/5WPN-QT71</w:t>
        </w:r>
      </w:hyperlink>
    </w:p>
    <w:bookmarkEnd w:id="35"/>
    <w:bookmarkEnd w:id="36"/>
    <w:bookmarkEnd w:id="37"/>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9" Target="media/rId29.png" /><Relationship Type="http://schemas.openxmlformats.org/officeDocument/2006/relationships/image" Id="rId25" Target="media/rId25.jpg" /><Relationship Type="http://schemas.openxmlformats.org/officeDocument/2006/relationships/image" Id="rId21" Target="media/rId21.jpg" /><Relationship Type="http://schemas.openxmlformats.org/officeDocument/2006/relationships/hyperlink" Id="rId34" Target="https://doi.org/10.25923/5WPN-QT71" TargetMode="External" /><Relationship Type="http://schemas.openxmlformats.org/officeDocument/2006/relationships/hyperlink" Id="rId3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25923/5WPN-QT71" TargetMode="External" /><Relationship Type="http://schemas.openxmlformats.org/officeDocument/2006/relationships/hyperlink" Id="rId3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2025-04-16T19:45:47Z</dcterms:created>
  <dcterms:modified xsi:type="dcterms:W3CDTF">2025-04-16T19:45:47Z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