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analyses and Jitters.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1"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ABC control rule. The allowable biological catch and the annual catch limit are 85,135 and 72,365 pounds whole weight, respectively.</w:t>
      </w:r>
    </w:p>
    <w:p>
      <w:pPr>
        <w:pStyle w:val="BodyText"/>
      </w:pPr>
      <w:r>
        <w:t xml:space="preserve">The Southeast Fisheries Science Center provided a SEDAR 84 Data Workshop working paper summarizing federal management actions for stoplight parrotfish in St. Croix.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End w:id="31"/>
    <w:bookmarkStart w:id="32" w:name="modeling-framework"/>
    <w:p>
      <w:pPr>
        <w:pStyle w:val="Heading1"/>
      </w:pPr>
      <w:r>
        <w:t xml:space="preserve">2. Modeling Framework</w:t>
      </w:r>
    </w:p>
    <w:p>
      <w:pPr>
        <w:pStyle w:val="FirstParagraph"/>
      </w:pPr>
      <w:r>
        <w:rPr>
          <w:b/>
          <w:bCs/>
        </w:rPr>
        <w:t xml:space="preserve">Stock Synthesis was the modeling approach applied in this assessment because of its compatibility with the available data and consistent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2"/>
    <w:bookmarkStart w:id="50" w:name="data-informed-modeling-configurations"/>
    <w:p>
      <w:pPr>
        <w:pStyle w:val="Heading1"/>
      </w:pPr>
      <w:r>
        <w:t xml:space="preserve">3. Data-Informed Modeling Configurations</w:t>
      </w:r>
    </w:p>
    <w:p>
      <w:pPr>
        <w:pStyle w:val="FirstParagraph"/>
      </w:pPr>
      <w:r>
        <w:t xml:space="preserve">The data considered for use in the current assessment are documented in the SEDAR 84 US Caribbean Stoplight Parrotfish St. Croix Data Workshop Report</w:t>
      </w:r>
      <w:r>
        <w:t xml:space="preserve"> </w:t>
      </w:r>
      <w:r>
        <w:t xml:space="preserve">(SEDAR, 2024)</w:t>
      </w:r>
      <w:r>
        <w:t xml:space="preserve">. This section summarizes those data and their associated model configurations explored using Stock Synthesis.</w:t>
      </w:r>
    </w:p>
    <w:p>
      <w:pPr>
        <w:pStyle w:val="BodyText"/>
      </w:pPr>
      <w:r>
        <w:t xml:space="preserve">Additional details for each data input are provided across the respective references identified below:</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5" w:name="sec-data-fleet"/>
    <w:p>
      <w:pPr>
        <w:pStyle w:val="Heading2"/>
      </w:pPr>
      <w:r>
        <w:t xml:space="preserve">3.1 Commercial Dive Fleet</w:t>
      </w:r>
    </w:p>
    <w:bookmarkStart w:id="33" w:name="sec-data-fleet-catch"/>
    <w:p>
      <w:pPr>
        <w:pStyle w:val="Heading3"/>
      </w:pPr>
      <w:r>
        <w:t xml:space="preserve">3.1.1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w:t>
      </w:r>
      <w:r>
        <w:t xml:space="preserve"> </w:t>
      </w: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r>
        <w:t xml:space="preserve"> </w:t>
      </w:r>
      <w:r>
        <w:t xml:space="preserve">Based on discussions at the data workshop characterizing catch by the predominant dive gear,</w:t>
      </w:r>
      <w:r>
        <w:t xml:space="preserve"> </w:t>
      </w:r>
      <w:r>
        <w:rPr>
          <w:b/>
          <w:bCs/>
        </w:rPr>
        <w:t xml:space="preserve">the assessment assumed no discarding nor discard mortality associated with the dive fleet</w:t>
      </w:r>
      <w:r>
        <w:t xml:space="preserve">.</w:t>
      </w:r>
    </w:p>
    <w:p>
      <w:pPr>
        <w:pStyle w:val="BodyText"/>
      </w:pPr>
      <w:r>
        <w:t xml:space="preserve">It is important to note that the stock was not at an unexploited equilibrium at the start year of the available time series. The fishery had been ongoing for decades, and the total fishing effort in St. Croix in 2012 was undergoing a meaningful decline; thus, an initial F was estimated for the dive fleet, and a corresponding initial equilibrium catch was input. In recent assessments, the initial equilibrium catch is initiated as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bookmarkEnd w:id="33"/>
    <w:bookmarkStart w:id="34" w:name="sec-data-fleet-size"/>
    <w:p>
      <w:pPr>
        <w:pStyle w:val="Heading3"/>
      </w:pPr>
      <w:r>
        <w:t xml:space="preserve">3.1.2 Size Composition Data</w:t>
      </w:r>
    </w:p>
    <w:p>
      <w:pPr>
        <w:pStyle w:val="FirstParagraph"/>
      </w:pPr>
      <w:r>
        <w:t xml:space="preserve">Gear-specific annual length frequencies came from the commercial shore-based port-sampling Trip Interview Program</w:t>
      </w:r>
      <w:r>
        <w:t xml:space="preserve"> </w:t>
      </w:r>
      <w:r>
        <w:t xml:space="preserve">(Godwin et al., 2024)</w:t>
      </w:r>
      <w:r>
        <w:t xml:space="preserve">. These data were used to characterize the size-based selectivity pattern for the dive fleet. Since multiple fish can be obtained from a single sampled trip, the lengths are not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rPr>
          <w:b/>
          <w:bCs/>
        </w:rPr>
        <w:t xml:space="preserve">Due to low sample sizes, the fishery-dependent commercial dive fleet length composition data were collapsed across all years</w:t>
      </w:r>
    </w:p>
    <w:p>
      <w:pPr>
        <w:pStyle w:val="BodyText"/>
      </w:pPr>
      <w:r>
        <w:rPr>
          <w:b/>
          <w:bCs/>
        </w:rPr>
        <w:t xml:space="preserve">The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 The two parameters used to achieve a logistic selectivity shape were the size associated with peak selectivity and the width of the ascending limb.</w:t>
      </w:r>
    </w:p>
    <w:bookmarkEnd w:id="34"/>
    <w:bookmarkEnd w:id="35"/>
    <w:bookmarkStart w:id="38" w:name="sec-data-survey"/>
    <w:p>
      <w:pPr>
        <w:pStyle w:val="Heading2"/>
      </w:pPr>
      <w:r>
        <w:t xml:space="preserve">3.2 Survey Data</w:t>
      </w:r>
    </w:p>
    <w:bookmarkStart w:id="36" w:name="sec-data-survey-index"/>
    <w:p>
      <w:pPr>
        <w:pStyle w:val="Heading3"/>
      </w:pPr>
      <w:r>
        <w:t xml:space="preserve">3.2.1 Index of abundance</w:t>
      </w:r>
    </w:p>
    <w:p>
      <w:pPr>
        <w:pStyle w:val="FirstParagraph"/>
      </w:pPr>
      <w:r>
        <w:t xml:space="preserve">ADD YEARS</w:t>
      </w:r>
    </w:p>
    <w:p>
      <w:pPr>
        <w:pStyle w:val="BodyText"/>
      </w:pPr>
      <w:r>
        <w:t xml:space="preserve">Annual abundance observations and associated standard errors were from the National Coral Reef Monitoring Program Reef Visual Census</w:t>
      </w:r>
      <w:r>
        <w:t xml:space="preserve"> </w:t>
      </w:r>
      <w:r>
        <w:t xml:space="preserve">(Grove et al., 2024)</w:t>
      </w:r>
      <w:r>
        <w:t xml:space="preserve">. In stock syntheses,</w:t>
      </w:r>
      <w:r>
        <w:t xml:space="preserve"> </w:t>
      </w:r>
      <w:r>
        <w:rPr>
          <w:b/>
          <w:bCs/>
        </w:rPr>
        <w:t xml:space="preserve">the survey was configured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6"/>
    <w:bookmarkStart w:id="37" w:name="sec-data-survey-size"/>
    <w:p>
      <w:pPr>
        <w:pStyle w:val="Heading3"/>
      </w:pPr>
      <w:r>
        <w:t xml:space="preserve">3.2.2 Size Composition Data</w:t>
      </w:r>
    </w:p>
    <w:p>
      <w:pPr>
        <w:pStyle w:val="FirstParagraph"/>
      </w:pPr>
      <w:r>
        <w:t xml:space="preserve">Since multiple fish can be observed from a single dive,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 with a plus group for the largest bin, greater than or equal to 41 centimeters fork length.</w:t>
      </w:r>
      <w:r>
        <w:t xml:space="preserve"> </w:t>
      </w:r>
      <w:r>
        <w:t xml:space="preserve">Although the population is modeled at a higher resolution concerning bin size, the likelihood function, which aims to match the observed data inputs and the simulated population estimates, operates at the resolution of the data inputs.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7"/>
    <w:bookmarkEnd w:id="38"/>
    <w:bookmarkStart w:id="45" w:name="sec-data-biology"/>
    <w:p>
      <w:pPr>
        <w:pStyle w:val="Heading2"/>
      </w:pPr>
      <w:r>
        <w:t xml:space="preserve">3.3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Based on the available information,</w:t>
      </w:r>
      <w:r>
        <w:t xml:space="preserve"> </w:t>
      </w:r>
      <w:r>
        <w:rPr>
          <w:b/>
          <w:bCs/>
        </w:rPr>
        <w:t xml:space="preserve">the Stoplight Parrotfish population was modeled from age 0 through age 20, and from 0 to 41 centimeters fork length, in 1-centimeter bins, with the largest values for each as plus groups.</w:t>
      </w:r>
    </w:p>
    <w:bookmarkStart w:id="39" w:name="sec-methods-growth"/>
    <w:p>
      <w:pPr>
        <w:pStyle w:val="Heading3"/>
      </w:pPr>
      <w:r>
        <w:t xml:space="preserve">3.3.1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samples of Stoplight Parrotfish collected across the U.S. Caribbean from 2013 to 2023</w:t>
      </w:r>
      <w:r>
        <w:rPr>
          <w:b/>
          <w:bCs/>
        </w:rPr>
        <w:t xml:space="preserve"> </w:t>
      </w:r>
      <w:r>
        <w:rPr>
          <w:b/>
          <w:bCs/>
        </w:rPr>
        <w:t xml:space="preserve">(Rivera Hernández &amp; Shervette, 2024)</w:t>
      </w:r>
      <w:r>
        <w:rPr>
          <w:b/>
          <w:bCs/>
        </w:rPr>
        <w:t xml:space="preserve">.</w:t>
      </w:r>
    </w:p>
    <w:p>
      <w:pPr>
        <w:pStyle w:val="BodyText"/>
      </w:pP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to the substantial amounts of small (&lt;10cm) stoplight parrot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39"/>
    <w:bookmarkStart w:id="40" w:name="sec-methods-morpho"/>
    <w:p>
      <w:pPr>
        <w:pStyle w:val="Heading3"/>
      </w:pPr>
      <w:r>
        <w:t xml:space="preserve">3.3.2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10^-5 L^ 2.9, with weight in kilograms and length in centimeters.</w:t>
      </w:r>
    </w:p>
    <w:bookmarkEnd w:id="40"/>
    <w:bookmarkStart w:id="42" w:name="sec-methods-m"/>
    <w:p>
      <w:pPr>
        <w:pStyle w:val="Heading3"/>
      </w:pPr>
      <w:r>
        <w:t xml:space="preserve">3.3.3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test">
        <w:r>
          <w:rPr>
            <w:rStyle w:val="Hyperlink"/>
          </w:rPr>
          <w:t xml:space="preserve">Table 3.1</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0.3 was used in the initial model runs</w:t>
      </w:r>
      <w:r>
        <w:t xml:space="preserve">. This value corresponds with a theoretical maximum age of 18 years, approximately the average of the varoius maximum age values reported by</w:t>
      </w:r>
      <w:r>
        <w:t xml:space="preserve"> </w:t>
      </w:r>
      <w:r>
        <w:t xml:space="preserve">Choat et al. (2003)</w:t>
      </w:r>
      <w:r>
        <w:t xml:space="preserve"> </w:t>
      </w:r>
      <w:r>
        <w:t xml:space="preserve">and</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1" w:name="tbl-test"/>
          <w:p>
            <w:pPr>
              <w:jc w:val="center"/>
            </w:pPr>
            <w:pPr>
              <w:jc w:val="start"/>
              <w:spacing w:before="200"/>
              <w:pStyle w:val="ImageCaption"/>
            </w:pPr>
            <w:r>
              <w:t xml:space="preserve">Table 3.1: Empirical estimates of natural mortality (M) can be derived using life history information and the Natural Mortality Tool</w:t>
            </w:r>
            <w:r>
              <w:t xml:space="preserve"> </w:t>
            </w:r>
            <w:r>
              <w:t xml:space="preserve">(Cope &amp; Hamel, 2022)</w:t>
            </w:r>
            <w:r>
              <w:t xml:space="preserve">. The SEDAR assessment process working paper by</w:t>
            </w:r>
            <w:r>
              <w:t xml:space="preserve"> </w:t>
            </w:r>
            <w:r>
              <w:t xml:space="preserve">Rivera Hernández &amp; Shervette (2024)</w:t>
            </w:r>
            <w:r>
              <w:t xml:space="preserve"> </w:t>
            </w:r>
            <w:r>
              <w:t xml:space="preserve">is equivalent to the source input listed as SEDAR84-AP-01.</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1"/>
          <w:p/>
        </w:tc>
      </w:tr>
    </w:tbl>
    <w:bookmarkEnd w:id="42"/>
    <w:bookmarkStart w:id="43" w:name="sec-methods-repro"/>
    <w:p>
      <w:pPr>
        <w:pStyle w:val="Heading3"/>
      </w:pPr>
      <w:r>
        <w:t xml:space="preserve">3.3.4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 at larger sizes, the largest and oldest stoplight parrotfish observed by</w:t>
      </w:r>
      <w:r>
        <w:t xml:space="preserve"> </w:t>
      </w:r>
      <w:r>
        <w:t xml:space="preserve">Rivera Hernández &amp; Shervette (2024)</w:t>
      </w:r>
      <w:r>
        <w:t xml:space="preserve"> </w:t>
      </w:r>
      <w:r>
        <w:t xml:space="preserve">were female.</w:t>
      </w:r>
    </w:p>
    <w:bookmarkEnd w:id="43"/>
    <w:bookmarkStart w:id="44" w:name="sec-methods-sr"/>
    <w:p>
      <w:pPr>
        <w:pStyle w:val="Heading3"/>
      </w:pPr>
      <w:r>
        <w:t xml:space="preserve">3.3.5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4"/>
    <w:bookmarkEnd w:id="45"/>
    <w:bookmarkStart w:id="49" w:name="X908b6d2bfe2d016387f4b498ccb84f0ebfab567"/>
    <w:p>
      <w:pPr>
        <w:pStyle w:val="Heading2"/>
      </w:pPr>
      <w:r>
        <w:t xml:space="preserve">3.4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6" w:name="dive-fleet"/>
    <w:p>
      <w:pPr>
        <w:pStyle w:val="Heading3"/>
      </w:pPr>
      <w:r>
        <w:t xml:space="preserve">3.4.1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discarding nor discard mortality associated with the dive fleet.</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6"/>
    <w:bookmarkStart w:id="47" w:name="X2dd68dea9d2a39a605dd9ba68ebeeba882fe132"/>
    <w:p>
      <w:pPr>
        <w:pStyle w:val="Heading3"/>
      </w:pPr>
      <w:r>
        <w:t xml:space="preserve">3.4.2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1-centimeter bins, with a plus group for the largest bin, greater than or equal to 41 centimeters fork length.</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7"/>
    <w:bookmarkStart w:id="48" w:name="biology"/>
    <w:p>
      <w:pPr>
        <w:pStyle w:val="Heading3"/>
      </w:pPr>
      <w:r>
        <w:t xml:space="preserve">3.4.3 Biology</w:t>
      </w:r>
    </w:p>
    <w:p>
      <w:pPr>
        <w:numPr>
          <w:ilvl w:val="0"/>
          <w:numId w:val="1013"/>
        </w:numPr>
      </w:pPr>
      <w:r>
        <w:t xml:space="preserve">The Stoplight Parrotfish population was modeled from age 0 through age 20, and from 0 to 41 centimeters fork length, in 1-centimeter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8"/>
    <w:bookmarkEnd w:id="49"/>
    <w:bookmarkEnd w:id="50"/>
    <w:bookmarkStart w:id="58" w:name="model-development"/>
    <w:p>
      <w:pPr>
        <w:pStyle w:val="Heading1"/>
      </w:pPr>
      <w:r>
        <w:t xml:space="preserve">4.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7" w:name="sec-methods-diagnostics"/>
    <w:p>
      <w:pPr>
        <w:pStyle w:val="Heading2"/>
      </w:pPr>
      <w:r>
        <w:t xml:space="preserve">4.1 Model Diagnostics</w:t>
      </w:r>
    </w:p>
    <w:bookmarkStart w:id="51" w:name="sec-methods-residuals"/>
    <w:p>
      <w:pPr>
        <w:pStyle w:val="Heading3"/>
      </w:pPr>
      <w:r>
        <w:t xml:space="preserve">4.1.1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1"/>
    <w:bookmarkStart w:id="52" w:name="sec-methods-corr"/>
    <w:p>
      <w:pPr>
        <w:pStyle w:val="Heading3"/>
      </w:pPr>
      <w:r>
        <w:t xml:space="preserve">4.1.2 Correlation Analysis</w:t>
      </w:r>
    </w:p>
    <w:p>
      <w:pPr>
        <w:pStyle w:val="FirstParagraph"/>
      </w:pPr>
      <w:r>
        <w:t xml:space="preserve">High correlation among parameters can lead to flat likelihood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suggest reconsidering modeling assumptions and parameterization.</w:t>
      </w:r>
    </w:p>
    <w:bookmarkEnd w:id="52"/>
    <w:bookmarkStart w:id="53" w:name="sec-methods-jitter"/>
    <w:p>
      <w:pPr>
        <w:pStyle w:val="Heading3"/>
      </w:pPr>
      <w:r>
        <w:t xml:space="preserve">4.1.3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53"/>
    <w:bookmarkStart w:id="54" w:name="sec-methods-retro"/>
    <w:p>
      <w:pPr>
        <w:pStyle w:val="Heading3"/>
      </w:pPr>
      <w:r>
        <w:t xml:space="preserve">4.1.4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54"/>
    <w:bookmarkStart w:id="55" w:name="sec-methods-profiles"/>
    <w:p>
      <w:pPr>
        <w:pStyle w:val="Heading3"/>
      </w:pPr>
      <w:r>
        <w:t xml:space="preserve">4.1.5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55"/>
    <w:bookmarkStart w:id="56" w:name="sec-methods-sensitivity"/>
    <w:p>
      <w:pPr>
        <w:pStyle w:val="Heading3"/>
      </w:pPr>
      <w:r>
        <w:t xml:space="preserve">4.1.6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56"/>
    <w:bookmarkEnd w:id="57"/>
    <w:bookmarkEnd w:id="58"/>
    <w:bookmarkStart w:id="110" w:name="references"/>
    <w:p>
      <w:pPr>
        <w:pStyle w:val="Heading1"/>
      </w:pPr>
      <w:r>
        <w:t xml:space="preserve">References</w:t>
      </w:r>
    </w:p>
    <w:bookmarkStart w:id="109" w:name="refs"/>
    <w:bookmarkStart w:id="60"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59">
        <w:r>
          <w:rPr>
            <w:rStyle w:val="Hyperlink"/>
          </w:rPr>
          <w:t xml:space="preserve">https://doi.org/10.1111/2041-210x.13081</w:t>
        </w:r>
      </w:hyperlink>
    </w:p>
    <w:bookmarkEnd w:id="60"/>
    <w:bookmarkStart w:id="62"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1">
        <w:r>
          <w:rPr>
            <w:rStyle w:val="Hyperlink"/>
          </w:rPr>
          <w:t xml:space="preserve">https://doi.org/10.1016/j.fishres.2021.105959</w:t>
        </w:r>
      </w:hyperlink>
    </w:p>
    <w:bookmarkEnd w:id="62"/>
    <w:bookmarkStart w:id="64"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63">
        <w:r>
          <w:rPr>
            <w:rStyle w:val="Hyperlink"/>
          </w:rPr>
          <w:t xml:space="preserve">https://doi.org/10.3354/meps246265</w:t>
        </w:r>
      </w:hyperlink>
    </w:p>
    <w:bookmarkEnd w:id="64"/>
    <w:bookmarkStart w:id="66" w:name="ref-cope2024"/>
    <w:p>
      <w:pPr>
        <w:pStyle w:val="Bibliography"/>
      </w:pPr>
      <w:r>
        <w:t xml:space="preserve">Cope, J. (2024).</w:t>
      </w:r>
      <w:r>
        <w:t xml:space="preserve"> </w:t>
      </w:r>
      <w:r>
        <w:rPr>
          <w:i/>
          <w:iCs/>
        </w:rPr>
        <w:t xml:space="preserve">Stock assessment continuum tool</w:t>
      </w:r>
      <w:r>
        <w:t xml:space="preserve">.</w:t>
      </w:r>
      <w:r>
        <w:t xml:space="preserve"> </w:t>
      </w:r>
      <w:hyperlink r:id="rId65">
        <w:r>
          <w:rPr>
            <w:rStyle w:val="Hyperlink"/>
          </w:rPr>
          <w:t xml:space="preserve">https://github.com/shcaba/SS-DL-tool</w:t>
        </w:r>
      </w:hyperlink>
    </w:p>
    <w:bookmarkEnd w:id="66"/>
    <w:bookmarkStart w:id="68"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67">
        <w:r>
          <w:rPr>
            <w:rStyle w:val="Hyperlink"/>
          </w:rPr>
          <w:t xml:space="preserve">https://doi.org/10.1016/j.fishres.2022.106493</w:t>
        </w:r>
      </w:hyperlink>
    </w:p>
    <w:bookmarkEnd w:id="68"/>
    <w:bookmarkStart w:id="70"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69">
        <w:r>
          <w:rPr>
            <w:rStyle w:val="Hyperlink"/>
          </w:rPr>
          <w:t xml:space="preserve">https://repository.library.noaa.gov/view/noaa/45275</w:t>
        </w:r>
      </w:hyperlink>
    </w:p>
    <w:bookmarkEnd w:id="70"/>
    <w:bookmarkStart w:id="72"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1">
        <w:r>
          <w:rPr>
            <w:rStyle w:val="Hyperlink"/>
          </w:rPr>
          <w:t xml:space="preserve">https://sedarweb.org/documents/sedar-84-dw-11-sedar-84-trip-interview-program-tip-size-composition-analysis-of-stoplight-parrotfish-sparisoma-viride-in-st-croix-u-s-caribbean-1983-2022/</w:t>
        </w:r>
      </w:hyperlink>
    </w:p>
    <w:bookmarkEnd w:id="72"/>
    <w:bookmarkStart w:id="74"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73">
        <w:r>
          <w:rPr>
            <w:rStyle w:val="Hyperlink"/>
          </w:rPr>
          <w:t xml:space="preserve">https://sedarweb.org/documents/sedar-84-dw-14-fishery-independent-reef-fish-visual-survey-population-density-and-length-composition-for-stoplight-parrotfish-in-the-st-croix/</w:t>
        </w:r>
      </w:hyperlink>
    </w:p>
    <w:bookmarkEnd w:id="74"/>
    <w:bookmarkStart w:id="76"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75">
        <w:r>
          <w:rPr>
            <w:rStyle w:val="Hyperlink"/>
          </w:rPr>
          <w:t xml:space="preserve">https://doi.org/10.1093/icesjms/fsu131</w:t>
        </w:r>
      </w:hyperlink>
    </w:p>
    <w:bookmarkEnd w:id="76"/>
    <w:bookmarkStart w:id="78"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77">
        <w:r>
          <w:rPr>
            <w:rStyle w:val="Hyperlink"/>
          </w:rPr>
          <w:t xml:space="preserve">https://doi.org/10.1016/j.fishres.2022.106477</w:t>
        </w:r>
      </w:hyperlink>
    </w:p>
    <w:bookmarkEnd w:id="78"/>
    <w:bookmarkStart w:id="80"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79">
        <w:r>
          <w:rPr>
            <w:rStyle w:val="Hyperlink"/>
          </w:rPr>
          <w:t xml:space="preserve">https://doi.org/10.1139/f95-233</w:t>
        </w:r>
      </w:hyperlink>
    </w:p>
    <w:bookmarkEnd w:id="80"/>
    <w:bookmarkStart w:id="82"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81">
        <w:r>
          <w:rPr>
            <w:rStyle w:val="Hyperlink"/>
          </w:rPr>
          <w:t xml:space="preserve">https://doi.org/10.1139/f97-007</w:t>
        </w:r>
      </w:hyperlink>
    </w:p>
    <w:bookmarkEnd w:id="82"/>
    <w:bookmarkStart w:id="84"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83">
        <w:r>
          <w:rPr>
            <w:rStyle w:val="Hyperlink"/>
          </w:rPr>
          <w:t xml:space="preserve">https://sedarweb.org/documents/sedar-84-dw-03-sedar-84-commercial-fishery-landings-of-stoplight-parrotfish-sparisoma-viride-in-st-croix-us-caribbean-2012-2022/</w:t>
        </w:r>
      </w:hyperlink>
    </w:p>
    <w:bookmarkEnd w:id="84"/>
    <w:bookmarkStart w:id="86"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85">
        <w:r>
          <w:rPr>
            <w:rStyle w:val="Hyperlink"/>
          </w:rPr>
          <w:t xml:space="preserve">https://doi.org/10.1016/j.fishres.2012.10.012</w:t>
        </w:r>
      </w:hyperlink>
    </w:p>
    <w:bookmarkEnd w:id="86"/>
    <w:bookmarkStart w:id="88" w:name="ref-methot2020"/>
    <w:p>
      <w:pPr>
        <w:pStyle w:val="Bibliography"/>
      </w:pPr>
      <w:r>
        <w:t xml:space="preserve">Methot, R. D., Wetzel, C. R., Taylor, I. G., &amp; Doering, K. (2020). Stock synthesis user manual : Version 3.30.15.</w:t>
      </w:r>
      <w:r>
        <w:t xml:space="preserve"> </w:t>
      </w:r>
      <w:r>
        <w:rPr>
          <w:i/>
          <w:iCs/>
        </w:rPr>
        <w:t xml:space="preserve">Northwest Fisheries Science Center (U.S.)</w:t>
      </w:r>
      <w:r>
        <w:t xml:space="preserve">.</w:t>
      </w:r>
      <w:r>
        <w:t xml:space="preserve"> </w:t>
      </w:r>
      <w:hyperlink r:id="rId87">
        <w:r>
          <w:rPr>
            <w:rStyle w:val="Hyperlink"/>
          </w:rPr>
          <w:t xml:space="preserve">https://doi.org/10.25923/5WPN-QT71</w:t>
        </w:r>
      </w:hyperlink>
    </w:p>
    <w:bookmarkEnd w:id="88"/>
    <w:bookmarkStart w:id="90" w:name="ref-rikhter1976"/>
    <w:p>
      <w:pPr>
        <w:pStyle w:val="Bibliography"/>
      </w:pPr>
      <w:r>
        <w:t xml:space="preserve">Rikhter, V. A., &amp; Efanov, V. N. (1976). 12.</w:t>
      </w:r>
      <w:r>
        <w:t xml:space="preserve"> </w:t>
      </w:r>
      <w:hyperlink r:id="rId89">
        <w:r>
          <w:rPr>
            <w:rStyle w:val="Hyperlink"/>
          </w:rPr>
          <w:t xml:space="preserve">https://www.nafo.int/icnaf/library/docs/1976/res-08.pdf</w:t>
        </w:r>
      </w:hyperlink>
    </w:p>
    <w:bookmarkEnd w:id="90"/>
    <w:bookmarkStart w:id="92"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91">
        <w:r>
          <w:rPr>
            <w:rStyle w:val="Hyperlink"/>
          </w:rPr>
          <w:t xml:space="preserve">https://sedarweb.org/documents/sedar-84-ap-01-report-on-the-status-of-u-s-caribbean-stoplight-parrotfish-sparisoma-viride-age-growth-and-reproductive-biology-for-the-sedar84-stock-assessment</w:t>
        </w:r>
      </w:hyperlink>
    </w:p>
    <w:bookmarkEnd w:id="92"/>
    <w:bookmarkStart w:id="94"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93">
        <w:r>
          <w:rPr>
            <w:rStyle w:val="Hyperlink"/>
          </w:rPr>
          <w:t xml:space="preserve">https://sedarweb.org/documents/sedar-46-final-stock-assessment-report-caribbean-data-limited-species/</w:t>
        </w:r>
      </w:hyperlink>
    </w:p>
    <w:bookmarkEnd w:id="94"/>
    <w:bookmarkStart w:id="96"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95">
        <w:r>
          <w:rPr>
            <w:rStyle w:val="Hyperlink"/>
          </w:rPr>
          <w:t xml:space="preserve">http://sedarweb.org/sedar-57</w:t>
        </w:r>
      </w:hyperlink>
    </w:p>
    <w:bookmarkEnd w:id="96"/>
    <w:bookmarkStart w:id="98" w:name="ref-sedar2022"/>
    <w:p>
      <w:pPr>
        <w:pStyle w:val="Bibliography"/>
      </w:pPr>
      <w:r>
        <w:t xml:space="preserve">SEDAR. (2022).</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 </w:t>
      </w:r>
      <w:hyperlink r:id="rId97">
        <w:r>
          <w:rPr>
            <w:rStyle w:val="Hyperlink"/>
          </w:rPr>
          <w:t xml:space="preserve">https://sedarweb.org/documents/sedar-80-us-caribbean-queen-triggerfish-puerto-rico-final-stock-assessment-report/</w:t>
        </w:r>
      </w:hyperlink>
    </w:p>
    <w:bookmarkEnd w:id="98"/>
    <w:bookmarkStart w:id="100"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99">
        <w:r>
          <w:rPr>
            <w:rStyle w:val="Hyperlink"/>
          </w:rPr>
          <w:t xml:space="preserve">https://sedarweb.org/documents/sedar-84-us-caribbean-stoplight-parrotfish-st-croix-data-workshop-report/</w:t>
        </w:r>
      </w:hyperlink>
    </w:p>
    <w:bookmarkEnd w:id="100"/>
    <w:bookmarkStart w:id="102"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01">
        <w:r>
          <w:rPr>
            <w:rStyle w:val="Hyperlink"/>
          </w:rPr>
          <w:t xml:space="preserve">https://doi.org/10.1016/j.fishres.2021.105924</w:t>
        </w:r>
      </w:hyperlink>
    </w:p>
    <w:bookmarkEnd w:id="102"/>
    <w:bookmarkStart w:id="104"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03">
        <w:r>
          <w:rPr>
            <w:rStyle w:val="Hyperlink"/>
          </w:rPr>
          <w:t xml:space="preserve">https://doi.org/10.1093/icesjms/fsu136</w:t>
        </w:r>
      </w:hyperlink>
    </w:p>
    <w:bookmarkEnd w:id="104"/>
    <w:bookmarkStart w:id="106"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05">
        <w:r>
          <w:rPr>
            <w:rStyle w:val="Hyperlink"/>
          </w:rPr>
          <w:t xml:space="preserve">https://doi.org/10.1111/faf.12427</w:t>
        </w:r>
      </w:hyperlink>
    </w:p>
    <w:bookmarkEnd w:id="106"/>
    <w:bookmarkStart w:id="108"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07">
        <w:r>
          <w:rPr>
            <w:rStyle w:val="Hyperlink"/>
          </w:rPr>
          <w:t xml:space="preserve">https://doi.org/10.1002/eap.1606</w:t>
        </w:r>
      </w:hyperlink>
    </w:p>
    <w:bookmarkEnd w:id="108"/>
    <w:bookmarkEnd w:id="109"/>
    <w:bookmarkEnd w:id="110"/>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95" Target="http://sedarweb.org/sedar-57" TargetMode="External" /><Relationship Type="http://schemas.openxmlformats.org/officeDocument/2006/relationships/hyperlink" Id="rId107" Target="https://doi.org/10.1002/eap.1606" TargetMode="External" /><Relationship Type="http://schemas.openxmlformats.org/officeDocument/2006/relationships/hyperlink" Id="rId85" Target="https://doi.org/10.1016/j.fishres.2012.10.012" TargetMode="External" /><Relationship Type="http://schemas.openxmlformats.org/officeDocument/2006/relationships/hyperlink" Id="rId101" Target="https://doi.org/10.1016/j.fishres.2021.105924" TargetMode="External" /><Relationship Type="http://schemas.openxmlformats.org/officeDocument/2006/relationships/hyperlink" Id="rId61" Target="https://doi.org/10.1016/j.fishres.2021.105959" TargetMode="External" /><Relationship Type="http://schemas.openxmlformats.org/officeDocument/2006/relationships/hyperlink" Id="rId77" Target="https://doi.org/10.1016/j.fishres.2022.106477" TargetMode="External" /><Relationship Type="http://schemas.openxmlformats.org/officeDocument/2006/relationships/hyperlink" Id="rId67" Target="https://doi.org/10.1016/j.fishres.2022.106493" TargetMode="External" /><Relationship Type="http://schemas.openxmlformats.org/officeDocument/2006/relationships/hyperlink" Id="rId75" Target="https://doi.org/10.1093/icesjms/fsu131" TargetMode="External" /><Relationship Type="http://schemas.openxmlformats.org/officeDocument/2006/relationships/hyperlink" Id="rId103" Target="https://doi.org/10.1093/icesjms/fsu136" TargetMode="External" /><Relationship Type="http://schemas.openxmlformats.org/officeDocument/2006/relationships/hyperlink" Id="rId59" Target="https://doi.org/10.1111/2041-210x.13081" TargetMode="External" /><Relationship Type="http://schemas.openxmlformats.org/officeDocument/2006/relationships/hyperlink" Id="rId105" Target="https://doi.org/10.1111/faf.12427" TargetMode="External" /><Relationship Type="http://schemas.openxmlformats.org/officeDocument/2006/relationships/hyperlink" Id="rId79" Target="https://doi.org/10.1139/f95-233" TargetMode="External" /><Relationship Type="http://schemas.openxmlformats.org/officeDocument/2006/relationships/hyperlink" Id="rId81" Target="https://doi.org/10.1139/f97-007" TargetMode="External" /><Relationship Type="http://schemas.openxmlformats.org/officeDocument/2006/relationships/hyperlink" Id="rId87" Target="https://doi.org/10.25923/5WPN-QT71" TargetMode="External" /><Relationship Type="http://schemas.openxmlformats.org/officeDocument/2006/relationships/hyperlink" Id="rId63" Target="https://doi.org/10.3354/meps246265" TargetMode="External" /><Relationship Type="http://schemas.openxmlformats.org/officeDocument/2006/relationships/hyperlink" Id="rId65" Target="https://github.com/shcaba/SS-DL-tool" TargetMode="External" /><Relationship Type="http://schemas.openxmlformats.org/officeDocument/2006/relationships/hyperlink" Id="rId111" Target="https://quarto.org/" TargetMode="External" /><Relationship Type="http://schemas.openxmlformats.org/officeDocument/2006/relationships/hyperlink" Id="rId69" Target="https://repository.library.noaa.gov/view/noaa/45275" TargetMode="External" /><Relationship Type="http://schemas.openxmlformats.org/officeDocument/2006/relationships/hyperlink" Id="rId93" Target="https://sedarweb.org/documents/sedar-46-final-stock-assessment-report-caribbean-data-limited-species/" TargetMode="External" /><Relationship Type="http://schemas.openxmlformats.org/officeDocument/2006/relationships/hyperlink" Id="rId97" Target="https://sedarweb.org/documents/sedar-80-us-caribbean-queen-triggerfish-puerto-rico-final-stock-assessment-report/" TargetMode="External" /><Relationship Type="http://schemas.openxmlformats.org/officeDocument/2006/relationships/hyperlink" Id="rId91" Target="https://sedarweb.org/documents/sedar-84-ap-01-report-on-the-status-of-u-s-caribbean-stoplight-parrotfish-sparisoma-viride-age-growth-and-reproductive-biology-for-the-sedar84-stock-assessment" TargetMode="External" /><Relationship Type="http://schemas.openxmlformats.org/officeDocument/2006/relationships/hyperlink" Id="rId83" Target="https://sedarweb.org/documents/sedar-84-dw-03-sedar-84-commercial-fishery-landings-of-stoplight-parrotfish-sparisoma-viride-in-st-croix-us-caribbean-2012-2022/" TargetMode="External" /><Relationship Type="http://schemas.openxmlformats.org/officeDocument/2006/relationships/hyperlink" Id="rId71" Target="https://sedarweb.org/documents/sedar-84-dw-11-sedar-84-trip-interview-program-tip-size-composition-analysis-of-stoplight-parrotfish-sparisoma-viride-in-st-croix-u-s-caribbean-1983-2022/" TargetMode="External" /><Relationship Type="http://schemas.openxmlformats.org/officeDocument/2006/relationships/hyperlink" Id="rId73" Target="https://sedarweb.org/documents/sedar-84-dw-14-fishery-independent-reef-fish-visual-survey-population-density-and-length-composition-for-stoplight-parrotfish-in-the-st-croix/" TargetMode="External" /><Relationship Type="http://schemas.openxmlformats.org/officeDocument/2006/relationships/hyperlink" Id="rId99" Target="https://sedarweb.org/documents/sedar-84-us-caribbean-stoplight-parrotfish-st-croix-data-workshop-report/" TargetMode="External" /><Relationship Type="http://schemas.openxmlformats.org/officeDocument/2006/relationships/hyperlink" Id="rId89"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95" Target="http://sedarweb.org/sedar-57" TargetMode="External" /><Relationship Type="http://schemas.openxmlformats.org/officeDocument/2006/relationships/hyperlink" Id="rId107" Target="https://doi.org/10.1002/eap.1606" TargetMode="External" /><Relationship Type="http://schemas.openxmlformats.org/officeDocument/2006/relationships/hyperlink" Id="rId85" Target="https://doi.org/10.1016/j.fishres.2012.10.012" TargetMode="External" /><Relationship Type="http://schemas.openxmlformats.org/officeDocument/2006/relationships/hyperlink" Id="rId101" Target="https://doi.org/10.1016/j.fishres.2021.105924" TargetMode="External" /><Relationship Type="http://schemas.openxmlformats.org/officeDocument/2006/relationships/hyperlink" Id="rId61" Target="https://doi.org/10.1016/j.fishres.2021.105959" TargetMode="External" /><Relationship Type="http://schemas.openxmlformats.org/officeDocument/2006/relationships/hyperlink" Id="rId77" Target="https://doi.org/10.1016/j.fishres.2022.106477" TargetMode="External" /><Relationship Type="http://schemas.openxmlformats.org/officeDocument/2006/relationships/hyperlink" Id="rId67" Target="https://doi.org/10.1016/j.fishres.2022.106493" TargetMode="External" /><Relationship Type="http://schemas.openxmlformats.org/officeDocument/2006/relationships/hyperlink" Id="rId75" Target="https://doi.org/10.1093/icesjms/fsu131" TargetMode="External" /><Relationship Type="http://schemas.openxmlformats.org/officeDocument/2006/relationships/hyperlink" Id="rId103" Target="https://doi.org/10.1093/icesjms/fsu136" TargetMode="External" /><Relationship Type="http://schemas.openxmlformats.org/officeDocument/2006/relationships/hyperlink" Id="rId59" Target="https://doi.org/10.1111/2041-210x.13081" TargetMode="External" /><Relationship Type="http://schemas.openxmlformats.org/officeDocument/2006/relationships/hyperlink" Id="rId105" Target="https://doi.org/10.1111/faf.12427" TargetMode="External" /><Relationship Type="http://schemas.openxmlformats.org/officeDocument/2006/relationships/hyperlink" Id="rId79" Target="https://doi.org/10.1139/f95-233" TargetMode="External" /><Relationship Type="http://schemas.openxmlformats.org/officeDocument/2006/relationships/hyperlink" Id="rId81" Target="https://doi.org/10.1139/f97-007" TargetMode="External" /><Relationship Type="http://schemas.openxmlformats.org/officeDocument/2006/relationships/hyperlink" Id="rId87" Target="https://doi.org/10.25923/5WPN-QT71" TargetMode="External" /><Relationship Type="http://schemas.openxmlformats.org/officeDocument/2006/relationships/hyperlink" Id="rId63" Target="https://doi.org/10.3354/meps246265" TargetMode="External" /><Relationship Type="http://schemas.openxmlformats.org/officeDocument/2006/relationships/hyperlink" Id="rId65" Target="https://github.com/shcaba/SS-DL-tool" TargetMode="External" /><Relationship Type="http://schemas.openxmlformats.org/officeDocument/2006/relationships/hyperlink" Id="rId111" Target="https://quarto.org/" TargetMode="External" /><Relationship Type="http://schemas.openxmlformats.org/officeDocument/2006/relationships/hyperlink" Id="rId69" Target="https://repository.library.noaa.gov/view/noaa/45275" TargetMode="External" /><Relationship Type="http://schemas.openxmlformats.org/officeDocument/2006/relationships/hyperlink" Id="rId93" Target="https://sedarweb.org/documents/sedar-46-final-stock-assessment-report-caribbean-data-limited-species/" TargetMode="External" /><Relationship Type="http://schemas.openxmlformats.org/officeDocument/2006/relationships/hyperlink" Id="rId97" Target="https://sedarweb.org/documents/sedar-80-us-caribbean-queen-triggerfish-puerto-rico-final-stock-assessment-report/" TargetMode="External" /><Relationship Type="http://schemas.openxmlformats.org/officeDocument/2006/relationships/hyperlink" Id="rId91" Target="https://sedarweb.org/documents/sedar-84-ap-01-report-on-the-status-of-u-s-caribbean-stoplight-parrotfish-sparisoma-viride-age-growth-and-reproductive-biology-for-the-sedar84-stock-assessment" TargetMode="External" /><Relationship Type="http://schemas.openxmlformats.org/officeDocument/2006/relationships/hyperlink" Id="rId83" Target="https://sedarweb.org/documents/sedar-84-dw-03-sedar-84-commercial-fishery-landings-of-stoplight-parrotfish-sparisoma-viride-in-st-croix-us-caribbean-2012-2022/" TargetMode="External" /><Relationship Type="http://schemas.openxmlformats.org/officeDocument/2006/relationships/hyperlink" Id="rId71" Target="https://sedarweb.org/documents/sedar-84-dw-11-sedar-84-trip-interview-program-tip-size-composition-analysis-of-stoplight-parrotfish-sparisoma-viride-in-st-croix-u-s-caribbean-1983-2022/" TargetMode="External" /><Relationship Type="http://schemas.openxmlformats.org/officeDocument/2006/relationships/hyperlink" Id="rId73" Target="https://sedarweb.org/documents/sedar-84-dw-14-fishery-independent-reef-fish-visual-survey-population-density-and-length-composition-for-stoplight-parrotfish-in-the-st-croix/" TargetMode="External" /><Relationship Type="http://schemas.openxmlformats.org/officeDocument/2006/relationships/hyperlink" Id="rId99" Target="https://sedarweb.org/documents/sedar-84-us-caribbean-stoplight-parrotfish-st-croix-data-workshop-report/" TargetMode="External" /><Relationship Type="http://schemas.openxmlformats.org/officeDocument/2006/relationships/hyperlink" Id="rId89"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2025-04-01T16:50:36Z</dcterms:created>
  <dcterms:modified xsi:type="dcterms:W3CDTF">2025-04-01T16:50:36Z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