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2"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control rule. The allowable biological catch and the annual catch limit are 85,135 and 72,365 pounds whole weight, respectively.</w:t>
      </w:r>
    </w:p>
    <w:p>
      <w:pPr>
        <w:pStyle w:val="BodyText"/>
      </w:pPr>
      <w:r>
        <w:t xml:space="preserve">A SEDAR 84 Data Workshop working paper summarizes federal management actions for stoplight parrotfish in St. Croix</w:t>
      </w:r>
      <w:r>
        <w:t xml:space="preserve"> </w:t>
      </w:r>
      <w:r>
        <w:t xml:space="preserve">(Malone, 2024)</w:t>
      </w:r>
      <w:r>
        <w:t xml:space="preserve">.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Start w:id="31" w:name="modeling-framework"/>
    <w:p>
      <w:pPr>
        <w:pStyle w:val="Heading2"/>
      </w:pPr>
      <w:r>
        <w:t xml:space="preserve">1.3 Modeling Framework</w:t>
      </w:r>
    </w:p>
    <w:p>
      <w:pPr>
        <w:pStyle w:val="FirstParagraph"/>
      </w:pPr>
      <w:r>
        <w:rPr>
          <w:b/>
          <w:bCs/>
        </w:rPr>
        <w:t xml:space="preserve">Stock Synthesis was the modeling approach applied in the current SEDAR 84 assessment because of compatibility with the available data and consistency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1"/>
    <w:bookmarkEnd w:id="32"/>
    <w:bookmarkStart w:id="51" w:name="data-informed-modeling-decisions"/>
    <w:p>
      <w:pPr>
        <w:pStyle w:val="Heading1"/>
      </w:pPr>
      <w:r>
        <w:t xml:space="preserve">2. Data-Informed Modeling Decisions</w:t>
      </w:r>
    </w:p>
    <w:p>
      <w:pPr>
        <w:pStyle w:val="FirstParagraph"/>
      </w:pPr>
      <w:r>
        <w:t xml:space="preserve">The data available for use in the current assessment are documented in the SEDAR 84 US Caribbean Stoplight Parrotfish St. Croix Data Workshop Report</w:t>
      </w:r>
      <w:r>
        <w:t xml:space="preserve"> </w:t>
      </w:r>
      <w:r>
        <w:t xml:space="preserve">(SEDAR, 2024)</w:t>
      </w:r>
      <w:r>
        <w:t xml:space="preserve">. Provided here is a summary of those data with a focus on the associated model configurations explored using Stock Synthesis.</w:t>
      </w:r>
    </w:p>
    <w:p>
      <w:pPr>
        <w:pStyle w:val="BodyText"/>
      </w:pPr>
      <w:r>
        <w:t xml:space="preserve">Additional details for each data input are available in their respective references:</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6" w:name="sec-data-fleet"/>
    <w:p>
      <w:pPr>
        <w:pStyle w:val="Heading2"/>
      </w:pPr>
      <w:r>
        <w:t xml:space="preserve">2.1 Commercial Dive Fleet</w:t>
      </w:r>
    </w:p>
    <w:bookmarkStart w:id="34" w:name="sec-data-fleet-catch"/>
    <w:p>
      <w:pPr>
        <w:pStyle w:val="Heading3"/>
      </w:pPr>
      <w:r>
        <w:t xml:space="preserve">2.1.1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 Beginning in 1996, part of the commercial landings were reported by species groups (e.g., snappers, groupers, parrotfishes, surgeonfishes, etc.), and by gear (hook and line, gill net, SCUBA, trap, etc.). All commercial fishery data reports included species groups beginning in 1998. In July of 2011, commercial landings were reported by species and gear.</w:t>
      </w:r>
    </w:p>
    <w:p>
      <w:pPr>
        <w:pStyle w:val="BodyText"/>
      </w:pPr>
      <w:r>
        <w:t xml:space="preserve">Various diving gears were combined to establish a dive gear group, and the catch from this group made up 80% of the reported landings (</w:t>
      </w:r>
      <w:hyperlink w:anchor="tbl-catch">
        <w:r>
          <w:rPr>
            <w:rStyle w:val="Hyperlink"/>
          </w:rPr>
          <w:t xml:space="preserve">Table 2.1</w:t>
        </w:r>
      </w:hyperlink>
      <w:r>
        <w:t xml:space="preserve">). Potential outliers were discussed during the assessment webinars and retained as valid trips.</w:t>
      </w:r>
    </w:p>
    <w:tbl>
      <w:tblPr>
        <w:tblStyle w:val="Table"/>
        <w:tblW w:type="pct" w:w="5000"/>
        <w:tblLayout w:type="fixed"/>
        <w:tblLook w:firstRow="0" w:lastRow="0" w:firstColumn="0" w:lastColumn="0" w:noHBand="0" w:noVBand="0" w:val="0000"/>
      </w:tblPr>
      <w:tblGrid>
        <w:gridCol w:w="7920"/>
      </w:tblGrid>
      <w:tr>
        <w:tc>
          <w:tcPr/>
          <w:bookmarkStart w:id="33" w:name="tbl-catch"/>
          <w:p>
            <w:pPr>
              <w:jc w:val="center"/>
            </w:pPr>
            <w:pPr>
              <w:jc w:val="start"/>
              <w:spacing w:before="200"/>
              <w:pStyle w:val="ImageCaption"/>
            </w:pPr>
            <w:r>
              <w:t xml:space="preserve">Table 2.1: Commercial landings of Stoplight Parrotfish reported in St. Croix from</w:t>
            </w:r>
            <w:r>
              <w:t xml:space="preserve"> </w:t>
            </w:r>
            <w:r>
              <w:t xml:space="preserve">2012-2022 in metric tons and pounds by year, along with the percentage of landings that came from each gear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jc w:val="center"/>
                  </w:pPr>
                  <w:r>
                    <w:t xml:space="preserve">Year</w:t>
                  </w:r>
                </w:p>
              </w:tc>
              <w:tc>
                <w:tcPr/>
                <w:p>
                  <w:pPr>
                    <w:pStyle w:val="Compact"/>
                    <w:jc w:val="right"/>
                    <w:jc w:val="center"/>
                  </w:pPr>
                  <w:r>
                    <w:t xml:space="preserve">Metric Tons</w:t>
                  </w:r>
                </w:p>
              </w:tc>
              <w:tc>
                <w:tcPr/>
                <w:p>
                  <w:pPr>
                    <w:pStyle w:val="Compact"/>
                    <w:jc w:val="right"/>
                    <w:jc w:val="center"/>
                  </w:pPr>
                  <w:r>
                    <w:t xml:space="preserve">Pounds</w:t>
                  </w:r>
                </w:p>
              </w:tc>
              <w:tc>
                <w:tcPr/>
                <w:p>
                  <w:pPr>
                    <w:pStyle w:val="Compact"/>
                    <w:jc w:val="right"/>
                    <w:jc w:val="center"/>
                  </w:pPr>
                  <w:r>
                    <w:t xml:space="preserve">Dive</w:t>
                  </w:r>
                </w:p>
              </w:tc>
              <w:tc>
                <w:tcPr/>
                <w:p>
                  <w:pPr>
                    <w:pStyle w:val="Compact"/>
                    <w:jc w:val="right"/>
                    <w:jc w:val="center"/>
                  </w:pPr>
                  <w:r>
                    <w:t xml:space="preserve">Other</w:t>
                  </w:r>
                </w:p>
              </w:tc>
            </w:tr>
            <w:tr>
              <w:tc>
                <w:tcPr/>
                <w:p>
                  <w:pPr>
                    <w:pStyle w:val="Compact"/>
                    <w:jc w:val="center"/>
                    <w:jc w:val="center"/>
                  </w:pPr>
                  <w:r>
                    <w:t xml:space="preserve">2012</w:t>
                  </w:r>
                </w:p>
              </w:tc>
              <w:tc>
                <w:tcPr/>
                <w:p>
                  <w:pPr>
                    <w:pStyle w:val="Compact"/>
                    <w:jc w:val="right"/>
                    <w:jc w:val="center"/>
                  </w:pPr>
                  <w:r>
                    <w:t xml:space="preserve">18.99</w:t>
                  </w:r>
                </w:p>
              </w:tc>
              <w:tc>
                <w:tcPr/>
                <w:p>
                  <w:pPr>
                    <w:pStyle w:val="Compact"/>
                    <w:jc w:val="right"/>
                    <w:jc w:val="center"/>
                  </w:pPr>
                  <w:r>
                    <w:t xml:space="preserve">41,869</w:t>
                  </w:r>
                </w:p>
              </w:tc>
              <w:tc>
                <w:tcPr/>
                <w:p>
                  <w:pPr>
                    <w:pStyle w:val="Compact"/>
                    <w:jc w:val="right"/>
                    <w:jc w:val="center"/>
                  </w:pPr>
                  <w:r>
                    <w:t xml:space="preserve">97%</w:t>
                  </w:r>
                </w:p>
              </w:tc>
              <w:tc>
                <w:tcPr/>
                <w:p>
                  <w:pPr>
                    <w:pStyle w:val="Compact"/>
                    <w:jc w:val="right"/>
                    <w:jc w:val="center"/>
                  </w:pPr>
                  <w:r>
                    <w:t xml:space="preserve">3%</w:t>
                  </w:r>
                </w:p>
              </w:tc>
            </w:tr>
            <w:tr>
              <w:tc>
                <w:tcPr/>
                <w:p>
                  <w:pPr>
                    <w:pStyle w:val="Compact"/>
                    <w:jc w:val="center"/>
                    <w:jc w:val="center"/>
                  </w:pPr>
                  <w:r>
                    <w:t xml:space="preserve">2013</w:t>
                  </w:r>
                </w:p>
              </w:tc>
              <w:tc>
                <w:tcPr/>
                <w:p>
                  <w:pPr>
                    <w:pStyle w:val="Compact"/>
                    <w:jc w:val="right"/>
                    <w:jc w:val="center"/>
                  </w:pPr>
                  <w:r>
                    <w:t xml:space="preserve">15.32</w:t>
                  </w:r>
                </w:p>
              </w:tc>
              <w:tc>
                <w:tcPr/>
                <w:p>
                  <w:pPr>
                    <w:pStyle w:val="Compact"/>
                    <w:jc w:val="right"/>
                    <w:jc w:val="center"/>
                  </w:pPr>
                  <w:r>
                    <w:t xml:space="preserve">33,773</w:t>
                  </w:r>
                </w:p>
              </w:tc>
              <w:tc>
                <w:tcPr/>
                <w:p>
                  <w:pPr>
                    <w:pStyle w:val="Compact"/>
                    <w:jc w:val="right"/>
                    <w:jc w:val="center"/>
                  </w:pPr>
                  <w:r>
                    <w:t xml:space="preserve">98%</w:t>
                  </w:r>
                </w:p>
              </w:tc>
              <w:tc>
                <w:tcPr/>
                <w:p>
                  <w:pPr>
                    <w:pStyle w:val="Compact"/>
                    <w:jc w:val="right"/>
                    <w:jc w:val="center"/>
                  </w:pPr>
                  <w:r>
                    <w:t xml:space="preserve">2%</w:t>
                  </w:r>
                </w:p>
              </w:tc>
            </w:tr>
            <w:tr>
              <w:tc>
                <w:tcPr/>
                <w:p>
                  <w:pPr>
                    <w:pStyle w:val="Compact"/>
                    <w:jc w:val="center"/>
                    <w:jc w:val="center"/>
                  </w:pPr>
                  <w:r>
                    <w:t xml:space="preserve">2014</w:t>
                  </w:r>
                </w:p>
              </w:tc>
              <w:tc>
                <w:tcPr/>
                <w:p>
                  <w:pPr>
                    <w:pStyle w:val="Compact"/>
                    <w:jc w:val="right"/>
                    <w:jc w:val="center"/>
                  </w:pPr>
                  <w:r>
                    <w:t xml:space="preserve">9.88</w:t>
                  </w:r>
                </w:p>
              </w:tc>
              <w:tc>
                <w:tcPr/>
                <w:p>
                  <w:pPr>
                    <w:pStyle w:val="Compact"/>
                    <w:jc w:val="right"/>
                    <w:jc w:val="center"/>
                  </w:pPr>
                  <w:r>
                    <w:t xml:space="preserve">21,774</w:t>
                  </w:r>
                </w:p>
              </w:tc>
              <w:tc>
                <w:tcPr/>
                <w:p>
                  <w:pPr>
                    <w:pStyle w:val="Compact"/>
                    <w:jc w:val="right"/>
                    <w:jc w:val="center"/>
                  </w:pPr>
                  <w:r>
                    <w:t xml:space="preserve">87%</w:t>
                  </w:r>
                </w:p>
              </w:tc>
              <w:tc>
                <w:tcPr/>
                <w:p>
                  <w:pPr>
                    <w:pStyle w:val="Compact"/>
                    <w:jc w:val="right"/>
                    <w:jc w:val="center"/>
                  </w:pPr>
                  <w:r>
                    <w:t xml:space="preserve">13%</w:t>
                  </w:r>
                </w:p>
              </w:tc>
            </w:tr>
            <w:tr>
              <w:tc>
                <w:tcPr/>
                <w:p>
                  <w:pPr>
                    <w:pStyle w:val="Compact"/>
                    <w:jc w:val="center"/>
                    <w:jc w:val="center"/>
                  </w:pPr>
                  <w:r>
                    <w:t xml:space="preserve">2015</w:t>
                  </w:r>
                </w:p>
              </w:tc>
              <w:tc>
                <w:tcPr/>
                <w:p>
                  <w:pPr>
                    <w:pStyle w:val="Compact"/>
                    <w:jc w:val="right"/>
                    <w:jc w:val="center"/>
                  </w:pPr>
                  <w:r>
                    <w:t xml:space="preserve">11.25</w:t>
                  </w:r>
                </w:p>
              </w:tc>
              <w:tc>
                <w:tcPr/>
                <w:p>
                  <w:pPr>
                    <w:pStyle w:val="Compact"/>
                    <w:jc w:val="right"/>
                    <w:jc w:val="center"/>
                  </w:pPr>
                  <w:r>
                    <w:t xml:space="preserve">24,808</w:t>
                  </w:r>
                </w:p>
              </w:tc>
              <w:tc>
                <w:tcPr/>
                <w:p>
                  <w:pPr>
                    <w:pStyle w:val="Compact"/>
                    <w:jc w:val="right"/>
                    <w:jc w:val="center"/>
                  </w:pPr>
                  <w:r>
                    <w:t xml:space="preserve">68%</w:t>
                  </w:r>
                </w:p>
              </w:tc>
              <w:tc>
                <w:tcPr/>
                <w:p>
                  <w:pPr>
                    <w:pStyle w:val="Compact"/>
                    <w:jc w:val="right"/>
                    <w:jc w:val="center"/>
                  </w:pPr>
                  <w:r>
                    <w:t xml:space="preserve">32%</w:t>
                  </w:r>
                </w:p>
              </w:tc>
            </w:tr>
            <w:tr>
              <w:tc>
                <w:tcPr/>
                <w:p>
                  <w:pPr>
                    <w:pStyle w:val="Compact"/>
                    <w:jc w:val="center"/>
                    <w:jc w:val="center"/>
                  </w:pPr>
                  <w:r>
                    <w:t xml:space="preserve">2016</w:t>
                  </w:r>
                </w:p>
              </w:tc>
              <w:tc>
                <w:tcPr/>
                <w:p>
                  <w:pPr>
                    <w:pStyle w:val="Compact"/>
                    <w:jc w:val="right"/>
                    <w:jc w:val="center"/>
                  </w:pPr>
                  <w:r>
                    <w:t xml:space="preserve">11.10</w:t>
                  </w:r>
                </w:p>
              </w:tc>
              <w:tc>
                <w:tcPr/>
                <w:p>
                  <w:pPr>
                    <w:pStyle w:val="Compact"/>
                    <w:jc w:val="right"/>
                    <w:jc w:val="center"/>
                  </w:pPr>
                  <w:r>
                    <w:t xml:space="preserve">24,481</w:t>
                  </w:r>
                </w:p>
              </w:tc>
              <w:tc>
                <w:tcPr/>
                <w:p>
                  <w:pPr>
                    <w:pStyle w:val="Compact"/>
                    <w:jc w:val="right"/>
                    <w:jc w:val="center"/>
                  </w:pPr>
                  <w:r>
                    <w:t xml:space="preserve">58%</w:t>
                  </w:r>
                </w:p>
              </w:tc>
              <w:tc>
                <w:tcPr/>
                <w:p>
                  <w:pPr>
                    <w:pStyle w:val="Compact"/>
                    <w:jc w:val="right"/>
                    <w:jc w:val="center"/>
                  </w:pPr>
                  <w:r>
                    <w:t xml:space="preserve">42%</w:t>
                  </w:r>
                </w:p>
              </w:tc>
            </w:tr>
            <w:tr>
              <w:tc>
                <w:tcPr/>
                <w:p>
                  <w:pPr>
                    <w:pStyle w:val="Compact"/>
                    <w:jc w:val="center"/>
                    <w:jc w:val="center"/>
                  </w:pPr>
                  <w:r>
                    <w:t xml:space="preserve">2017</w:t>
                  </w:r>
                </w:p>
              </w:tc>
              <w:tc>
                <w:tcPr/>
                <w:p>
                  <w:pPr>
                    <w:pStyle w:val="Compact"/>
                    <w:jc w:val="right"/>
                    <w:jc w:val="center"/>
                  </w:pPr>
                  <w:r>
                    <w:t xml:space="preserve">10.67</w:t>
                  </w:r>
                </w:p>
              </w:tc>
              <w:tc>
                <w:tcPr/>
                <w:p>
                  <w:pPr>
                    <w:pStyle w:val="Compact"/>
                    <w:jc w:val="right"/>
                    <w:jc w:val="center"/>
                  </w:pPr>
                  <w:r>
                    <w:t xml:space="preserve">23,533</w:t>
                  </w:r>
                </w:p>
              </w:tc>
              <w:tc>
                <w:tcPr/>
                <w:p>
                  <w:pPr>
                    <w:pStyle w:val="Compact"/>
                    <w:jc w:val="right"/>
                    <w:jc w:val="center"/>
                  </w:pPr>
                  <w:r>
                    <w:t xml:space="preserve">68%</w:t>
                  </w:r>
                </w:p>
              </w:tc>
              <w:tc>
                <w:tcPr/>
                <w:p>
                  <w:pPr>
                    <w:pStyle w:val="Compact"/>
                    <w:jc w:val="right"/>
                    <w:jc w:val="center"/>
                  </w:pPr>
                  <w:r>
                    <w:t xml:space="preserve">32%</w:t>
                  </w:r>
                </w:p>
              </w:tc>
            </w:tr>
            <w:tr>
              <w:tc>
                <w:tcPr/>
                <w:p>
                  <w:pPr>
                    <w:pStyle w:val="Compact"/>
                    <w:jc w:val="center"/>
                    <w:jc w:val="center"/>
                  </w:pPr>
                  <w:r>
                    <w:t xml:space="preserve">2018</w:t>
                  </w:r>
                </w:p>
              </w:tc>
              <w:tc>
                <w:tcPr/>
                <w:p>
                  <w:pPr>
                    <w:pStyle w:val="Compact"/>
                    <w:jc w:val="right"/>
                    <w:jc w:val="center"/>
                  </w:pPr>
                  <w:r>
                    <w:t xml:space="preserve">3.29</w:t>
                  </w:r>
                </w:p>
              </w:tc>
              <w:tc>
                <w:tcPr/>
                <w:p>
                  <w:pPr>
                    <w:pStyle w:val="Compact"/>
                    <w:jc w:val="right"/>
                    <w:jc w:val="center"/>
                  </w:pPr>
                  <w:r>
                    <w:t xml:space="preserve">7,262</w:t>
                  </w:r>
                </w:p>
              </w:tc>
              <w:tc>
                <w:tcPr/>
                <w:p>
                  <w:pPr>
                    <w:pStyle w:val="Compact"/>
                    <w:jc w:val="right"/>
                    <w:jc w:val="center"/>
                  </w:pPr>
                  <w:r>
                    <w:t xml:space="preserve">90%</w:t>
                  </w:r>
                </w:p>
              </w:tc>
              <w:tc>
                <w:tcPr/>
                <w:p>
                  <w:pPr>
                    <w:pStyle w:val="Compact"/>
                    <w:jc w:val="right"/>
                    <w:jc w:val="center"/>
                  </w:pPr>
                  <w:r>
                    <w:t xml:space="preserve">10%</w:t>
                  </w:r>
                </w:p>
              </w:tc>
            </w:tr>
            <w:tr>
              <w:tc>
                <w:tcPr/>
                <w:p>
                  <w:pPr>
                    <w:pStyle w:val="Compact"/>
                    <w:jc w:val="center"/>
                    <w:jc w:val="center"/>
                  </w:pPr>
                  <w:r>
                    <w:t xml:space="preserve">2019</w:t>
                  </w:r>
                </w:p>
              </w:tc>
              <w:tc>
                <w:tcPr/>
                <w:p>
                  <w:pPr>
                    <w:pStyle w:val="Compact"/>
                    <w:jc w:val="right"/>
                    <w:jc w:val="center"/>
                  </w:pPr>
                  <w:r>
                    <w:t xml:space="preserve">3.42</w:t>
                  </w:r>
                </w:p>
              </w:tc>
              <w:tc>
                <w:tcPr/>
                <w:p>
                  <w:pPr>
                    <w:pStyle w:val="Compact"/>
                    <w:jc w:val="right"/>
                    <w:jc w:val="center"/>
                  </w:pPr>
                  <w:r>
                    <w:t xml:space="preserve">7,540</w:t>
                  </w:r>
                </w:p>
              </w:tc>
              <w:tc>
                <w:tcPr/>
                <w:p>
                  <w:pPr>
                    <w:pStyle w:val="Compact"/>
                    <w:jc w:val="right"/>
                    <w:jc w:val="center"/>
                  </w:pPr>
                  <w:r>
                    <w:t xml:space="preserve">80%</w:t>
                  </w:r>
                </w:p>
              </w:tc>
              <w:tc>
                <w:tcPr/>
                <w:p>
                  <w:pPr>
                    <w:pStyle w:val="Compact"/>
                    <w:jc w:val="right"/>
                    <w:jc w:val="center"/>
                  </w:pPr>
                  <w:r>
                    <w:t xml:space="preserve">20%</w:t>
                  </w:r>
                </w:p>
              </w:tc>
            </w:tr>
            <w:tr>
              <w:tc>
                <w:tcPr/>
                <w:p>
                  <w:pPr>
                    <w:pStyle w:val="Compact"/>
                    <w:jc w:val="center"/>
                    <w:jc w:val="center"/>
                  </w:pPr>
                  <w:r>
                    <w:t xml:space="preserve">2020</w:t>
                  </w:r>
                </w:p>
              </w:tc>
              <w:tc>
                <w:tcPr/>
                <w:p>
                  <w:pPr>
                    <w:pStyle w:val="Compact"/>
                    <w:jc w:val="right"/>
                    <w:jc w:val="center"/>
                  </w:pPr>
                  <w:r>
                    <w:t xml:space="preserve">9.93</w:t>
                  </w:r>
                </w:p>
              </w:tc>
              <w:tc>
                <w:tcPr/>
                <w:p>
                  <w:pPr>
                    <w:pStyle w:val="Compact"/>
                    <w:jc w:val="right"/>
                    <w:jc w:val="center"/>
                  </w:pPr>
                  <w:r>
                    <w:t xml:space="preserve">21,883</w:t>
                  </w:r>
                </w:p>
              </w:tc>
              <w:tc>
                <w:tcPr/>
                <w:p>
                  <w:pPr>
                    <w:pStyle w:val="Compact"/>
                    <w:jc w:val="right"/>
                    <w:jc w:val="center"/>
                  </w:pPr>
                  <w:r>
                    <w:t xml:space="preserve">71%</w:t>
                  </w:r>
                </w:p>
              </w:tc>
              <w:tc>
                <w:tcPr/>
                <w:p>
                  <w:pPr>
                    <w:pStyle w:val="Compact"/>
                    <w:jc w:val="right"/>
                    <w:jc w:val="center"/>
                  </w:pPr>
                  <w:r>
                    <w:t xml:space="preserve">29%</w:t>
                  </w:r>
                </w:p>
              </w:tc>
            </w:tr>
            <w:tr>
              <w:tc>
                <w:tcPr/>
                <w:p>
                  <w:pPr>
                    <w:pStyle w:val="Compact"/>
                    <w:jc w:val="center"/>
                    <w:jc w:val="center"/>
                  </w:pPr>
                  <w:r>
                    <w:t xml:space="preserve">2021</w:t>
                  </w:r>
                </w:p>
              </w:tc>
              <w:tc>
                <w:tcPr/>
                <w:p>
                  <w:pPr>
                    <w:pStyle w:val="Compact"/>
                    <w:jc w:val="right"/>
                    <w:jc w:val="center"/>
                  </w:pPr>
                  <w:r>
                    <w:t xml:space="preserve">11.07</w:t>
                  </w:r>
                </w:p>
              </w:tc>
              <w:tc>
                <w:tcPr/>
                <w:p>
                  <w:pPr>
                    <w:pStyle w:val="Compact"/>
                    <w:jc w:val="right"/>
                    <w:jc w:val="center"/>
                  </w:pPr>
                  <w:r>
                    <w:t xml:space="preserve">24,412</w:t>
                  </w:r>
                </w:p>
              </w:tc>
              <w:tc>
                <w:tcPr/>
                <w:p>
                  <w:pPr>
                    <w:pStyle w:val="Compact"/>
                    <w:jc w:val="right"/>
                    <w:jc w:val="center"/>
                  </w:pPr>
                  <w:r>
                    <w:t xml:space="preserve">90%</w:t>
                  </w:r>
                </w:p>
              </w:tc>
              <w:tc>
                <w:tcPr/>
                <w:p>
                  <w:pPr>
                    <w:pStyle w:val="Compact"/>
                    <w:jc w:val="right"/>
                    <w:jc w:val="center"/>
                  </w:pPr>
                  <w:r>
                    <w:t xml:space="preserve">10%</w:t>
                  </w:r>
                </w:p>
              </w:tc>
            </w:tr>
            <w:tr>
              <w:tc>
                <w:tcPr/>
                <w:p>
                  <w:pPr>
                    <w:pStyle w:val="Compact"/>
                    <w:jc w:val="center"/>
                    <w:jc w:val="center"/>
                  </w:pPr>
                  <w:r>
                    <w:t xml:space="preserve">2022</w:t>
                  </w:r>
                </w:p>
              </w:tc>
              <w:tc>
                <w:tcPr/>
                <w:p>
                  <w:pPr>
                    <w:pStyle w:val="Compact"/>
                    <w:jc w:val="right"/>
                    <w:jc w:val="center"/>
                  </w:pPr>
                  <w:r>
                    <w:t xml:space="preserve">7.44</w:t>
                  </w:r>
                </w:p>
              </w:tc>
              <w:tc>
                <w:tcPr/>
                <w:p>
                  <w:pPr>
                    <w:pStyle w:val="Compact"/>
                    <w:jc w:val="right"/>
                    <w:jc w:val="center"/>
                  </w:pPr>
                  <w:r>
                    <w:t xml:space="preserve">16,398</w:t>
                  </w:r>
                </w:p>
              </w:tc>
              <w:tc>
                <w:tcPr/>
                <w:p>
                  <w:pPr>
                    <w:pStyle w:val="Compact"/>
                    <w:jc w:val="right"/>
                    <w:jc w:val="center"/>
                  </w:pPr>
                  <w:r>
                    <w:t xml:space="preserve">74%</w:t>
                  </w:r>
                </w:p>
              </w:tc>
              <w:tc>
                <w:tcPr/>
                <w:p>
                  <w:pPr>
                    <w:pStyle w:val="Compact"/>
                    <w:jc w:val="right"/>
                    <w:jc w:val="center"/>
                  </w:pPr>
                  <w:r>
                    <w:t xml:space="preserve">26%</w:t>
                  </w:r>
                </w:p>
              </w:tc>
            </w:tr>
            <w:tr>
              <w:tc>
                <w:tcPr/>
                <w:p>
                  <w:pPr>
                    <w:pStyle w:val="Compact"/>
                    <w:jc w:val="center"/>
                    <w:jc w:val="center"/>
                  </w:pPr>
                  <w:r>
                    <w:t xml:space="preserve">Total</w:t>
                  </w:r>
                </w:p>
              </w:tc>
              <w:tc>
                <w:tcPr/>
                <w:p>
                  <w:pPr>
                    <w:pStyle w:val="Compact"/>
                    <w:jc w:val="right"/>
                    <w:jc w:val="center"/>
                  </w:pPr>
                  <w:r>
                    <w:t xml:space="preserve">112.37</w:t>
                  </w:r>
                </w:p>
              </w:tc>
              <w:tc>
                <w:tcPr/>
                <w:p>
                  <w:pPr>
                    <w:pStyle w:val="Compact"/>
                    <w:jc w:val="right"/>
                    <w:jc w:val="center"/>
                  </w:pPr>
                  <w:r>
                    <w:t xml:space="preserve">247,733</w:t>
                  </w:r>
                </w:p>
              </w:tc>
              <w:tc>
                <w:tcPr/>
                <w:p>
                  <w:pPr>
                    <w:pStyle w:val="Compact"/>
                    <w:jc w:val="right"/>
                    <w:jc w:val="center"/>
                  </w:pPr>
                  <w:r>
                    <w:t xml:space="preserve">82%</w:t>
                  </w:r>
                </w:p>
              </w:tc>
              <w:tc>
                <w:tcPr/>
                <w:p>
                  <w:pPr>
                    <w:pStyle w:val="Compact"/>
                    <w:jc w:val="right"/>
                    <w:jc w:val="center"/>
                  </w:pPr>
                  <w:r>
                    <w:t xml:space="preserve">18%</w:t>
                  </w:r>
                </w:p>
              </w:tc>
            </w:tr>
          </w:tbl>
          <w:bookmarkEnd w:id="33"/>
          <w:p/>
        </w:tc>
      </w:tr>
    </w:tbl>
    <w:p>
      <w:pPr>
        <w:pStyle w:val="BodyText"/>
      </w:pP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p>
    <w:p>
      <w:pPr>
        <w:pStyle w:val="BodyText"/>
      </w:pPr>
      <w:r>
        <w:t xml:space="preserve">Commercial discards reported by calendar year by</w:t>
      </w:r>
      <w:r>
        <w:t xml:space="preserve"> </w:t>
      </w:r>
      <w:r>
        <w:t xml:space="preserve">Martínez Rivera et al. (2024)</w:t>
      </w:r>
      <w:r>
        <w:t xml:space="preserve"> </w:t>
      </w:r>
      <w:r>
        <w:t xml:space="preserve">were not significant and based on the nature of spearfishing with the predominant dive gear,</w:t>
      </w:r>
      <w:r>
        <w:t xml:space="preserve"> </w:t>
      </w:r>
      <w:r>
        <w:rPr>
          <w:b/>
          <w:bCs/>
        </w:rPr>
        <w:t xml:space="preserve">the assessment assumed no discards</w:t>
      </w:r>
      <w:r>
        <w:t xml:space="preserve">.</w:t>
      </w:r>
    </w:p>
    <w:p>
      <w:pPr>
        <w:pStyle w:val="BodyText"/>
      </w:pPr>
      <w:r>
        <w:t xml:space="preserve">It is important to note that the stock was not unexploited at the start year of the available catch time series. The fishery had been ongoing for decades, and the total fishing effort in St. Croix in 2012 was undergoing a meaningful decline; thus, an initial F was estimated for the dive fleet, and a corresponding initial equilibrium catch was input. A common option to define an initial equilibrium catch is to use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bookmarkEnd w:id="34"/>
    <w:bookmarkStart w:id="35" w:name="sec-data-fleet-size"/>
    <w:p>
      <w:pPr>
        <w:pStyle w:val="Heading3"/>
      </w:pPr>
      <w:r>
        <w:t xml:space="preserve">2.1.2 Size Composition Data</w:t>
      </w:r>
    </w:p>
    <w:p>
      <w:pPr>
        <w:pStyle w:val="FirstParagraph"/>
      </w:pPr>
      <w:r>
        <w:t xml:space="preserve">Gear-specific annual length frequencies for the dive fleet came from the commercial shore-based port-sampling Trip Interview Program</w:t>
      </w:r>
      <w:r>
        <w:t xml:space="preserve"> </w:t>
      </w:r>
      <w:r>
        <w:t xml:space="preserve">(Godwin et al., 2024)</w:t>
      </w:r>
      <w:r>
        <w:t xml:space="preserve">. The NOAA Fisheries, Southeast Fisheries Science Center Trip Interview Program collects length and weight data from fish landed by commercial fishing vessels, along with information about fishing areas and gears. Data collection began in 1983 with frequent updates in best practices; the latest being in 2017. The Stoplight Parrotfish length data from St. Croix included 29,582 length observations across 1,028 unique port sampling interviews.</w:t>
      </w:r>
    </w:p>
    <w:p>
      <w:pPr>
        <w:pStyle w:val="BodyText"/>
      </w:pPr>
      <w:r>
        <w:t xml:space="preserve">Although the catch data can be separated into dive and non-dive related gears, 98% of the length measurements for St. Croix Stoplight parrotfish from 2012-2022 were associated with diving. These data were used to characterize the fleet’s size-based selectivity pattern. Since multiple fish length measurements can be obtained from a single sampled trip, each length does not represent an independent observation.</w:t>
      </w:r>
      <w:r>
        <w:t xml:space="preserve"> </w:t>
      </w:r>
      <w:r>
        <w:rPr>
          <w:b/>
          <w:bCs/>
        </w:rPr>
        <w:t xml:space="preserve">The relative model weighting of the dive fleet length compositions was based on the number of trips sampled</w:t>
      </w:r>
      <w:r>
        <w:t xml:space="preserve">.</w:t>
      </w:r>
    </w:p>
    <w:p>
      <w:pPr>
        <w:pStyle w:val="BodyText"/>
      </w:pPr>
      <w:r>
        <w:t xml:space="preserve">From 2012 - 2022, the size data included 1,033 shore-based length measurements from dive gears obtained across 66 trips. Five trips were flagged and removed as potential outliers with unusually large lengths.</w:t>
      </w:r>
      <w:r>
        <w:t xml:space="preserve"> </w:t>
      </w:r>
      <w:r>
        <w:rPr>
          <w:b/>
          <w:bCs/>
        </w:rPr>
        <w:t xml:space="preserve">Due to low sample sizes of both fish and trips, the fishery-dependent commercial dive fleet length composition data were collapsed across all years 2012-2022</w:t>
      </w:r>
      <w:r>
        <w:t xml:space="preserve">.</w:t>
      </w:r>
    </w:p>
    <w:p>
      <w:pPr>
        <w:pStyle w:val="BodyText"/>
      </w:pPr>
      <w:r>
        <w:rPr>
          <w:b/>
          <w:bCs/>
        </w:rPr>
        <w:t xml:space="preserve">The Trip Interview Program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configurations for SEDAR 84. The two parameters used to achieve a logistic selectivity shape were the size associated with peak selectivity and the width of the ascending limb.</w:t>
      </w:r>
    </w:p>
    <w:bookmarkEnd w:id="35"/>
    <w:bookmarkEnd w:id="36"/>
    <w:bookmarkStart w:id="39" w:name="sec-data-survey"/>
    <w:p>
      <w:pPr>
        <w:pStyle w:val="Heading2"/>
      </w:pPr>
      <w:r>
        <w:t xml:space="preserve">2.2 Survey Data</w:t>
      </w:r>
    </w:p>
    <w:bookmarkStart w:id="37" w:name="sec-data-survey-index"/>
    <w:p>
      <w:pPr>
        <w:pStyle w:val="Heading3"/>
      </w:pPr>
      <w:r>
        <w:t xml:space="preserve">2.2.1 Index of Abundance</w:t>
      </w:r>
    </w:p>
    <w:p>
      <w:pPr>
        <w:pStyle w:val="FirstParagraph"/>
      </w:pPr>
      <w:r>
        <w:t xml:space="preserve">The National Coral Reef Monitoring Program supports reef fish sampling on hard-bottom habitats from 0 to 30 meters depth</w:t>
      </w:r>
      <w:r>
        <w:t xml:space="preserve"> </w:t>
      </w:r>
      <w:r>
        <w:t xml:space="preserve">(Grove et al., 2021)</w:t>
      </w:r>
      <w:r>
        <w:t xml:space="preserve">. In St. Croix, sampling began in 2001 and was conducted every year from 2001 to 2012 and then every other year starting in 2015. The data used in SEDAR 84 were from 2012 - 2022 when the survey was conducted island-wide. Before 2017, the data are calibrated to account for the transition from belt transect to the cylinder survey method.</w:t>
      </w:r>
    </w:p>
    <w:p>
      <w:pPr>
        <w:pStyle w:val="BodyText"/>
      </w:pPr>
      <w:r>
        <w:t xml:space="preserve">Annual mean density and associated standard errors for SEDAR 84 were provided by</w:t>
      </w:r>
      <w:r>
        <w:t xml:space="preserve"> </w:t>
      </w:r>
      <w:r>
        <w:t xml:space="preserve">Grove et al. (2024)</w:t>
      </w:r>
      <w:r>
        <w:t xml:space="preserve">. In stock syntheses, the time series of mean density across all observed sizes</w:t>
      </w:r>
      <w:r>
        <w:t xml:space="preserve"> </w:t>
      </w:r>
      <w:r>
        <w:rPr>
          <w:b/>
          <w:bCs/>
        </w:rPr>
        <w:t xml:space="preserve">were input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7"/>
    <w:bookmarkStart w:id="38" w:name="sec-data-survey-size"/>
    <w:p>
      <w:pPr>
        <w:pStyle w:val="Heading3"/>
      </w:pPr>
      <w:r>
        <w:t xml:space="preserve">2.2.2 Size Composition Data</w:t>
      </w:r>
    </w:p>
    <w:p>
      <w:pPr>
        <w:pStyle w:val="FirstParagraph"/>
      </w:pPr>
      <w:r>
        <w:t xml:space="preserve">Since multiple fish can be observed from a single dive, individual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before 2017 the length observations were collected in 5-centimeter bins.</w:t>
      </w:r>
      <w:r>
        <w:t xml:space="preserve"> </w:t>
      </w:r>
      <w:r>
        <w:rPr>
          <w:b/>
          <w:bCs/>
        </w:rPr>
        <w:t xml:space="preserve">The length data inputs for both the dive fleet and the three years of the survey with 1 centimeter length measurements were binned to match the survey’s 2012 and 2015 5-centimeter bins.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8"/>
    <w:bookmarkEnd w:id="39"/>
    <w:bookmarkStart w:id="46" w:name="sec-data-biology"/>
    <w:p>
      <w:pPr>
        <w:pStyle w:val="Heading2"/>
      </w:pPr>
      <w:r>
        <w:t xml:space="preserve">2.3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The largest fish was 43.3 centimeters fork length and the oldest was 20 years old.</w:t>
      </w:r>
    </w:p>
    <w:p>
      <w:pPr>
        <w:pStyle w:val="BodyText"/>
      </w:pPr>
      <w:r>
        <w:t xml:space="preserve">Based on the available information,</w:t>
      </w:r>
      <w:r>
        <w:t xml:space="preserve"> </w:t>
      </w:r>
      <w:r>
        <w:rPr>
          <w:b/>
          <w:bCs/>
        </w:rPr>
        <w:t xml:space="preserve">the Stoplight Parrotfish population was modeled from age 0 through age 20, and from 0 to 41 centimeters fork length, in 1 centimeter bins, with the largest values for each as plus groups.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 centimeter bins.</w:t>
      </w:r>
      <w:r>
        <w:t xml:space="preserve"> </w:t>
      </w:r>
      <w:r>
        <w:t xml:space="preserve">When the population is modeled at a higher resolution concerning bin size, the likelihood function, which aims to match the observed data inputs and the simulated population estimates, operates at the resolution of the data inputs.</w:t>
      </w:r>
    </w:p>
    <w:bookmarkStart w:id="40" w:name="sec-methods-growth"/>
    <w:p>
      <w:pPr>
        <w:pStyle w:val="Heading3"/>
      </w:pPr>
      <w:r>
        <w:t xml:space="preserve">2.3.1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1,649 samples of Stoplight Parrotfish collected across the U.S. Caribbean from 2013 to 2023</w:t>
      </w:r>
      <w:r>
        <w:rPr>
          <w:b/>
          <w:bCs/>
        </w:rPr>
        <w:t xml:space="preserve"> </w:t>
      </w:r>
      <w:r>
        <w:rPr>
          <w:b/>
          <w:bCs/>
        </w:rPr>
        <w:t xml:space="preserve">(Rivera Hernández &amp; Shervette, 2024)</w:t>
      </w:r>
      <w:r>
        <w:rPr>
          <w:b/>
          <w:bCs/>
        </w:rPr>
        <w:t xml:space="preserve">.</w:t>
      </w:r>
      <w:r>
        <w:t xml:space="preserve"> </w:t>
      </w:r>
      <w:r>
        <w:t xml:space="preserve">When t</w:t>
      </w:r>
      <w:r>
        <w:rPr>
          <w:vertAlign w:val="subscript"/>
        </w:rPr>
        <w:t xml:space="preserve">0</w:t>
      </w:r>
      <w:r>
        <w:t xml:space="preserve"> </w:t>
      </w:r>
      <w:r>
        <w:t xml:space="preserve">was fixed to -0.06, K was 0.39 and L∞ 33.2 centimeters fork length. When t</w:t>
      </w:r>
      <w:r>
        <w:rPr>
          <w:vertAlign w:val="subscript"/>
        </w:rPr>
        <w:t xml:space="preserve">0</w:t>
      </w:r>
      <w:r>
        <w:t xml:space="preserve"> </w:t>
      </w:r>
      <w:r>
        <w:t xml:space="preserve">was estimated, it was -0.52, K was 0.33, and L∞ was 33.8 centimeters fork length.</w:t>
      </w:r>
    </w:p>
    <w:p>
      <w:pPr>
        <w:pStyle w:val="BodyText"/>
      </w:pPr>
      <w:r>
        <w:t xml:space="preserve">The SEDAR 84 assessment models were configured using the parameter estimates associated with the fixed t</w:t>
      </w:r>
      <w:r>
        <w:rPr>
          <w:vertAlign w:val="subscript"/>
        </w:rPr>
        <w:t xml:space="preserve">0</w:t>
      </w:r>
      <w:r>
        <w:t xml:space="preserve"> </w:t>
      </w:r>
      <w:r>
        <w:t xml:space="preserve">were used. Furthermore,</w:t>
      </w:r>
      <w:r>
        <w:t xml:space="preserve"> </w:t>
      </w: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the substantial amounts of small (&lt;10cm) stoplight parrotfish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40"/>
    <w:bookmarkStart w:id="41" w:name="sec-methods-morpho"/>
    <w:p>
      <w:pPr>
        <w:pStyle w:val="Heading3"/>
      </w:pPr>
      <w:r>
        <w:t xml:space="preserve">2.3.2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w:t>
      </w:r>
      <w:r>
        <w:rPr>
          <w:b/>
          <w:bCs/>
          <w:vertAlign w:val="superscript"/>
        </w:rPr>
        <w:t xml:space="preserve">-5</w:t>
      </w:r>
      <w:r>
        <w:rPr>
          <w:b/>
          <w:bCs/>
        </w:rPr>
        <w:t xml:space="preserve"> </w:t>
      </w:r>
      <w:r>
        <w:rPr>
          <w:b/>
          <w:bCs/>
        </w:rPr>
        <w:t xml:space="preserve">* L</w:t>
      </w:r>
      <w:r>
        <w:rPr>
          <w:b/>
          <w:bCs/>
          <w:vertAlign w:val="superscript"/>
        </w:rPr>
        <w:t xml:space="preserve">2.9</w:t>
      </w:r>
      <w:r>
        <w:rPr>
          <w:b/>
          <w:bCs/>
        </w:rPr>
        <w:t xml:space="preserve">, with weight in kilograms and length in centimeters.</w:t>
      </w:r>
    </w:p>
    <w:bookmarkEnd w:id="41"/>
    <w:bookmarkStart w:id="43" w:name="sec-methods-m"/>
    <w:p>
      <w:pPr>
        <w:pStyle w:val="Heading3"/>
      </w:pPr>
      <w:r>
        <w:t xml:space="preserve">2.3.3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2.2</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tbl>
      <w:tblPr>
        <w:tblStyle w:val="Table"/>
        <w:tblW w:type="pct" w:w="5000"/>
        <w:tblLayout w:type="fixed"/>
        <w:tblLook w:firstRow="0" w:lastRow="0" w:firstColumn="0" w:lastColumn="0" w:noHBand="0" w:noVBand="0" w:val="0000"/>
      </w:tblPr>
      <w:tblGrid>
        <w:gridCol w:w="7920"/>
      </w:tblGrid>
      <w:tr>
        <w:tc>
          <w:tcPr/>
          <w:bookmarkStart w:id="42" w:name="tbl-m"/>
          <w:p>
            <w:pPr>
              <w:jc w:val="center"/>
            </w:pPr>
            <w:pPr>
              <w:jc w:val="start"/>
              <w:spacing w:before="200"/>
              <w:pStyle w:val="ImageCaption"/>
            </w:pPr>
            <w:r>
              <w:t xml:space="preserve">Table 2.2: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2"/>
          <w:p/>
        </w:tc>
      </w:tr>
    </w:tbl>
    <w:p>
      <w:pPr>
        <w:pStyle w:val="BodyText"/>
      </w:pPr>
      <w:r>
        <w:rPr>
          <w:b/>
          <w:bCs/>
        </w:rPr>
        <w:t xml:space="preserve">A natural mortality value of 0.27 was used in the initial model runs</w:t>
      </w:r>
      <w:r>
        <w:t xml:space="preserve">. This value corresponds with the maximum age of 20 years reported by</w:t>
      </w:r>
      <w:r>
        <w:t xml:space="preserve"> </w:t>
      </w:r>
      <w:r>
        <w:t xml:space="preserve">Rivera Hernández &amp; Shervette (2024)</w:t>
      </w:r>
      <w:r>
        <w:t xml:space="preserve">. Model configurations incorporating alternative M values were explored through sensitivity analyses, which are discussed later in this report.</w:t>
      </w:r>
    </w:p>
    <w:bookmarkEnd w:id="43"/>
    <w:bookmarkStart w:id="44" w:name="sec-methods-repro"/>
    <w:p>
      <w:pPr>
        <w:pStyle w:val="Heading3"/>
      </w:pPr>
      <w:r>
        <w:t xml:space="preserve">2.3.4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males at larger sizes, the largest and oldest stoplight parrotfish observed by</w:t>
      </w:r>
      <w:r>
        <w:t xml:space="preserve"> </w:t>
      </w:r>
      <w:r>
        <w:t xml:space="preserve">Rivera Hernández &amp; Shervette (2024)</w:t>
      </w:r>
      <w:r>
        <w:t xml:space="preserve"> </w:t>
      </w:r>
      <w:r>
        <w:t xml:space="preserve">were female.</w:t>
      </w:r>
    </w:p>
    <w:bookmarkEnd w:id="44"/>
    <w:bookmarkStart w:id="45" w:name="sec-methods-sr"/>
    <w:p>
      <w:pPr>
        <w:pStyle w:val="Heading3"/>
      </w:pPr>
      <w:r>
        <w:t xml:space="preserve">2.3.5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p>
      <w:r>
        <w:br w:type="page"/>
      </w:r>
    </w:p>
    <w:bookmarkEnd w:id="45"/>
    <w:bookmarkEnd w:id="46"/>
    <w:bookmarkStart w:id="50" w:name="X908b6d2bfe2d016387f4b498ccb84f0ebfab567"/>
    <w:p>
      <w:pPr>
        <w:pStyle w:val="Heading2"/>
      </w:pPr>
      <w:r>
        <w:t xml:space="preserve">2.4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7" w:name="dive-fleet"/>
    <w:p>
      <w:pPr>
        <w:pStyle w:val="Heading3"/>
      </w:pPr>
      <w:r>
        <w:t xml:space="preserve">2.4.1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discards.</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7"/>
    <w:bookmarkStart w:id="48" w:name="X2dd68dea9d2a39a605dd9ba68ebeeba882fe132"/>
    <w:p>
      <w:pPr>
        <w:pStyle w:val="Heading3"/>
      </w:pPr>
      <w:r>
        <w:t xml:space="preserve">2.4.2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 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 centimeter bins.</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8"/>
    <w:bookmarkStart w:id="49" w:name="biology"/>
    <w:p>
      <w:pPr>
        <w:pStyle w:val="Heading3"/>
      </w:pPr>
      <w:r>
        <w:t xml:space="preserve">2.4.3 Biology</w:t>
      </w:r>
    </w:p>
    <w:p>
      <w:pPr>
        <w:numPr>
          <w:ilvl w:val="0"/>
          <w:numId w:val="1013"/>
        </w:numPr>
      </w:pPr>
      <w:r>
        <w:t xml:space="preserve">The Stoplight Parrotfish population was modeled from age 0 through age 20, and from 0 to 41 centimeters fork length, in 1 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9"/>
    <w:bookmarkEnd w:id="50"/>
    <w:bookmarkEnd w:id="51"/>
    <w:bookmarkStart w:id="65" w:name="model-development"/>
    <w:p>
      <w:pPr>
        <w:pStyle w:val="Heading1"/>
      </w:pPr>
      <w:r>
        <w:t xml:space="preserve">3.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3" w:name="sec-methods-model-overview"/>
    <w:p>
      <w:pPr>
        <w:pStyle w:val="Heading2"/>
      </w:pPr>
      <w:r>
        <w:t xml:space="preserve">3.1 SEDAR 84 Model Development Overview</w:t>
      </w:r>
    </w:p>
    <w:p>
      <w:pPr>
        <w:pStyle w:val="FirstParagraph"/>
      </w:pPr>
      <w:r>
        <w:t xml:space="preserve">The SEDAR 84 model development process started with simple data-limited configurations, followed by exploring data-moderate configurations, individually and combined.</w:t>
      </w:r>
      <w:r>
        <w:t xml:space="preserve"> </w:t>
      </w:r>
      <w:hyperlink w:anchor="tbl-overview">
        <w:r>
          <w:rPr>
            <w:rStyle w:val="Hyperlink"/>
          </w:rPr>
          <w:t xml:space="preserve">Table 3.1</w:t>
        </w:r>
      </w:hyperlink>
      <w:r>
        <w:t xml:space="preserve"> </w:t>
      </w:r>
      <w:r>
        <w:t xml:space="preserve">provides the shorthand naming conventions used for SEDAR 84 assessments of parrot fish in St. Croix and Yellowtail Snapper,</w:t>
      </w:r>
      <w:r>
        <w:t xml:space="preserve"> </w:t>
      </w:r>
      <w:r>
        <w:rPr>
          <w:i/>
          <w:iCs/>
        </w:rPr>
        <w:t xml:space="preserve">Ocyurus chrysurus</w:t>
      </w:r>
      <w:r>
        <w:t xml:space="preserve">, in Puerto Rico as well as St. Thomas and St. John.</w:t>
      </w:r>
    </w:p>
    <w:p>
      <w:pPr>
        <w:pStyle w:val="BodyText"/>
      </w:pPr>
      <w:r>
        <w:t xml:space="preserve">The simplest configurations aggregated length compositions across years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 blocks. Not all of these considerations were explored for St. Croix Stoplight Parrotfish. However, the process sets up a reproducible and adaptable workflow across species and islands of model development with sequential model steps that take into account methodological and intentional stepwise model explorations combined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2" w:name="tbl-overview"/>
          <w:p>
            <w:pPr>
              <w:jc w:val="center"/>
            </w:pPr>
            <w:pPr>
              <w:jc w:val="start"/>
              <w:spacing w:before="200"/>
              <w:pStyle w:val="ImageCaption"/>
            </w:pPr>
            <w:r>
              <w:t xml:space="preserve">Table 3.1: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449"/>
              <w:gridCol w:w="766"/>
              <w:gridCol w:w="3704"/>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catch and 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 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2"/>
          <w:p/>
        </w:tc>
      </w:tr>
    </w:tbl>
    <w:bookmarkEnd w:id="53"/>
    <w:bookmarkStart w:id="55" w:name="sec-methods-model-key"/>
    <w:p>
      <w:pPr>
        <w:pStyle w:val="Heading2"/>
      </w:pPr>
      <w:r>
        <w:t xml:space="preserve">3.2 SEDAR 84 St. Croix Stoplight Parrotfish Model Development</w:t>
      </w:r>
    </w:p>
    <w:p>
      <w:pPr>
        <w:pStyle w:val="FirstParagraph"/>
      </w:pPr>
      <w:r>
        <w:t xml:space="preserve">The considerations detailed in</w:t>
      </w:r>
      <w:r>
        <w:t xml:space="preserve"> </w:t>
      </w:r>
      <w:hyperlink w:anchor="tbl-overview">
        <w:r>
          <w:rPr>
            <w:rStyle w:val="Hyperlink"/>
          </w:rPr>
          <w:t xml:space="preserve">Table 3.1</w:t>
        </w:r>
      </w:hyperlink>
      <w:r>
        <w:t xml:space="preserve"> </w:t>
      </w:r>
      <w:r>
        <w:t xml:space="preserve">that were relevant for the St. Croix stoplight parrotfish assessment were (a) indices, (b) annual fishery-independent size composition, and (d) recruitment deviations. Annual fishery-dependent size data (c) was not explored due to the low sample size. Dome-shaped selectivity (e) and selectivity-related time blocks (f) were also not considerations that factor into the dynamics and data reviewed for St. Corix stoplight parrotfish. The initial setup steps and description of the modeling scenarios documented in this report are listed in</w:t>
      </w:r>
      <w:r>
        <w:t xml:space="preserve"> </w:t>
      </w:r>
      <w:hyperlink w:anchor="tbl-ss3-stxslp">
        <w:r>
          <w:rPr>
            <w:rStyle w:val="Hyperlink"/>
          </w:rPr>
          <w:t xml:space="preserve">Table 3.2</w:t>
        </w:r>
      </w:hyperlink>
      <w:r>
        <w:t xml:space="preserve">.</w:t>
      </w:r>
    </w:p>
    <w:p>
      <w:r>
        <w:br w:type="page"/>
      </w:r>
    </w:p>
    <w:tbl>
      <w:tblPr>
        <w:tblStyle w:val="Table"/>
        <w:tblW w:type="pct" w:w="5000"/>
        <w:tblLayout w:type="fixed"/>
        <w:tblLook w:firstRow="0" w:lastRow="0" w:firstColumn="0" w:lastColumn="0" w:noHBand="0" w:noVBand="0" w:val="0000"/>
      </w:tblPr>
      <w:tblGrid>
        <w:gridCol w:w="7920"/>
      </w:tblGrid>
      <w:tr>
        <w:tc>
          <w:tcPr/>
          <w:bookmarkStart w:id="54" w:name="tbl-ss3-stxslp"/>
          <w:p>
            <w:pPr>
              <w:jc w:val="center"/>
            </w:pPr>
            <w:pPr>
              <w:jc w:val="start"/>
              <w:spacing w:before="200"/>
              <w:pStyle w:val="ImageCaption"/>
            </w:pPr>
            <w:r>
              <w:t xml:space="preserve">Table 3.2: Summary of process and naming conventions used across different model development stages of the SEDAR 84 St. Croix Stoplight Parrotfish stock assessment.</w:t>
            </w:r>
          </w:p>
          <w:tbl>
            <w:tblPr>
              <w:tblStyle w:val="Table"/>
              <w:tblW w:type="pct" w:w="5000"/>
              <w:tblLayout w:type="fixed"/>
              <w:tblLook w:firstRow="1" w:lastRow="0" w:firstColumn="0" w:lastColumn="0" w:noHBand="0" w:noVBand="0" w:val="0020"/>
            </w:tblPr>
            <w:tblGrid>
              <w:gridCol w:w="990"/>
              <w:gridCol w:w="693"/>
              <w:gridCol w:w="6237"/>
            </w:tblGrid>
            <w:tr>
              <w:trPr>
                <w:tblHeader w:val="on"/>
              </w:trPr>
              <w:tc>
                <w:tcPr/>
                <w:p>
                  <w:pPr>
                    <w:pStyle w:val="Compact"/>
                    <w:jc w:val="center"/>
                  </w:pPr>
                  <w:r>
                    <w:t xml:space="preserve">Stage</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Initial</w:t>
                  </w:r>
                </w:p>
              </w:tc>
              <w:tc>
                <w:tcPr/>
                <w:p>
                  <w:pPr>
                    <w:pStyle w:val="Compact"/>
                    <w:jc w:val="center"/>
                    <w:jc w:val="center"/>
                  </w:pPr>
                  <w:r>
                    <w:t xml:space="preserve">ct</w:t>
                  </w:r>
                </w:p>
              </w:tc>
              <w:tc>
                <w:tcPr/>
                <w:p>
                  <w:pPr>
                    <w:pStyle w:val="Compact"/>
                    <w:jc w:val="center"/>
                  </w:pPr>
                  <w:r>
                    <w:t xml:space="preserve">model initialized with continuum tool (ct)</w:t>
                  </w:r>
                </w:p>
              </w:tc>
            </w:tr>
            <w:tr>
              <w:tc>
                <w:tcPr/>
                <w:p>
                  <w:pPr>
                    <w:pStyle w:val="Compact"/>
                    <w:jc w:val="center"/>
                  </w:pPr>
                  <w:r>
                    <w:t xml:space="preserve">Initial</w:t>
                  </w:r>
                </w:p>
              </w:tc>
              <w:tc>
                <w:tcPr/>
                <w:p>
                  <w:pPr>
                    <w:pStyle w:val="Compact"/>
                    <w:jc w:val="center"/>
                    <w:jc w:val="center"/>
                  </w:pPr>
                  <w:r>
                    <w:t xml:space="preserve">m1</w:t>
                  </w:r>
                </w:p>
              </w:tc>
              <w:tc>
                <w:tcPr/>
                <w:p>
                  <w:pPr>
                    <w:pStyle w:val="Compact"/>
                    <w:jc w:val="center"/>
                  </w:pPr>
                  <w:r>
                    <w:t xml:space="preserve">ct + hermaphroditism</w:t>
                  </w:r>
                </w:p>
              </w:tc>
            </w:tr>
            <w:tr>
              <w:tc>
                <w:tcPr/>
                <w:p>
                  <w:pPr>
                    <w:pStyle w:val="Compact"/>
                    <w:jc w:val="center"/>
                  </w:pPr>
                  <w:r>
                    <w:t xml:space="preserve">Initial</w:t>
                  </w:r>
                </w:p>
              </w:tc>
              <w:tc>
                <w:tcPr/>
                <w:p>
                  <w:pPr>
                    <w:pStyle w:val="Compact"/>
                    <w:jc w:val="center"/>
                    <w:jc w:val="center"/>
                  </w:pPr>
                  <w:r>
                    <w:t xml:space="preserve">m2</w:t>
                  </w:r>
                </w:p>
              </w:tc>
              <w:tc>
                <w:tcPr/>
                <w:p>
                  <w:pPr>
                    <w:pStyle w:val="Compact"/>
                    <w:jc w:val="center"/>
                  </w:pPr>
                  <w:r>
                    <w:t xml:space="preserve">m1 + continuous recruitment</w:t>
                  </w:r>
                </w:p>
              </w:tc>
            </w:tr>
            <w:tr>
              <w:tc>
                <w:tcPr/>
                <w:p>
                  <w:pPr>
                    <w:pStyle w:val="Compact"/>
                    <w:jc w:val="center"/>
                  </w:pPr>
                  <w:r>
                    <w:t xml:space="preserve">Scenario</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Scenario</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Scenario</w:t>
                  </w:r>
                </w:p>
              </w:tc>
              <w:tc>
                <w:tcPr/>
                <w:p>
                  <w:pPr>
                    <w:pStyle w:val="Compact"/>
                    <w:jc w:val="center"/>
                    <w:jc w:val="center"/>
                  </w:pPr>
                  <w:r>
                    <w:t xml:space="preserve">v1</w:t>
                  </w:r>
                </w:p>
              </w:tc>
              <w:tc>
                <w:tcPr/>
                <w:p>
                  <w:pPr>
                    <w:pStyle w:val="Compact"/>
                    <w:jc w:val="center"/>
                  </w:pPr>
                  <w:r>
                    <w:t xml:space="preserve">index + annual fishery-independent size data</w:t>
                  </w:r>
                </w:p>
              </w:tc>
            </w:tr>
            <w:tr>
              <w:tc>
                <w:tcPr/>
                <w:p>
                  <w:pPr>
                    <w:pStyle w:val="Compact"/>
                    <w:jc w:val="center"/>
                  </w:pPr>
                  <w:r>
                    <w:t xml:space="preserve">Scenario</w:t>
                  </w:r>
                </w:p>
              </w:tc>
              <w:tc>
                <w:tcPr/>
                <w:p>
                  <w:pPr>
                    <w:pStyle w:val="Compact"/>
                    <w:jc w:val="center"/>
                    <w:jc w:val="center"/>
                  </w:pPr>
                  <w:r>
                    <w:t xml:space="preserve">v3</w:t>
                  </w:r>
                </w:p>
              </w:tc>
              <w:tc>
                <w:tcPr/>
                <w:p>
                  <w:pPr>
                    <w:pStyle w:val="Compact"/>
                    <w:jc w:val="center"/>
                  </w:pPr>
                  <w:r>
                    <w:t xml:space="preserve">index + recruitment deviations</w:t>
                  </w:r>
                </w:p>
              </w:tc>
            </w:tr>
            <w:tr>
              <w:tc>
                <w:tcPr/>
                <w:p>
                  <w:pPr>
                    <w:pStyle w:val="Compact"/>
                    <w:jc w:val="center"/>
                  </w:pPr>
                  <w:r>
                    <w:t xml:space="preserve">Scenario</w:t>
                  </w:r>
                </w:p>
              </w:tc>
              <w:tc>
                <w:tcPr/>
                <w:p>
                  <w:pPr>
                    <w:pStyle w:val="Compact"/>
                    <w:jc w:val="center"/>
                    <w:jc w:val="center"/>
                  </w:pPr>
                  <w:r>
                    <w:t xml:space="preserve">v7</w:t>
                  </w:r>
                </w:p>
              </w:tc>
              <w:tc>
                <w:tcPr/>
                <w:p>
                  <w:pPr>
                    <w:pStyle w:val="Compact"/>
                    <w:jc w:val="center"/>
                  </w:pPr>
                  <w:r>
                    <w:t xml:space="preserve">index + annual fishery-independent size data + recruitment deviations</w:t>
                  </w:r>
                </w:p>
              </w:tc>
            </w:tr>
          </w:tbl>
          <w:bookmarkEnd w:id="54"/>
          <w:p/>
        </w:tc>
      </w:tr>
    </w:tbl>
    <w:bookmarkEnd w:id="55"/>
    <w:bookmarkStart w:id="64" w:name="sec-methods-diagnostics"/>
    <w:p>
      <w:pPr>
        <w:pStyle w:val="Heading2"/>
      </w:pPr>
      <w:r>
        <w:t xml:space="preserve">3.3 Model Diagnostics</w:t>
      </w:r>
    </w:p>
    <w:p>
      <w:pPr>
        <w:pStyle w:val="FirstParagraph"/>
      </w:pPr>
      <w:r>
        <w:t xml:space="preserve">Model diagnostics aimed to follow the conceptual process described by</w:t>
      </w:r>
      <w:r>
        <w:t xml:space="preserve"> </w:t>
      </w:r>
      <w:r>
        <w:t xml:space="preserve">Carvalho et al. (2021)</w:t>
      </w:r>
      <w:r>
        <w:t xml:space="preserve">. Their approach includes evaluating goodness of fit, information sources and structure, prediction skill, convergence, and model plausibility. Although</w:t>
      </w:r>
      <w:r>
        <w:t xml:space="preserve"> </w:t>
      </w:r>
      <w:r>
        <w:t xml:space="preserve">Carvalho et al. (2021)</w:t>
      </w:r>
      <w:r>
        <w:t xml:space="preserve"> </w:t>
      </w:r>
      <w:r>
        <w:t xml:space="preserve">advise detours and additional model explorations when initial diagnostic tests fail, advanced diagnostics, such as likelihood profiles, retrospective, and jitter analyses, were conducted even when initial tests failed to comprehensively communicate the various model configurations explored to the extent possible.</w:t>
      </w:r>
    </w:p>
    <w:bookmarkStart w:id="56" w:name="sec-methods-convergence"/>
    <w:p>
      <w:pPr>
        <w:pStyle w:val="Heading3"/>
      </w:pPr>
      <w:r>
        <w:t xml:space="preserve">3.3.1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6"/>
    <w:bookmarkStart w:id="57" w:name="sec-methods-corr"/>
    <w:p>
      <w:pPr>
        <w:pStyle w:val="Heading3"/>
      </w:pPr>
      <w:r>
        <w:t xml:space="preserve">3.3.2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7"/>
    <w:bookmarkStart w:id="58" w:name="evaluating-variance"/>
    <w:p>
      <w:pPr>
        <w:pStyle w:val="Heading3"/>
      </w:pPr>
      <w:r>
        <w:t xml:space="preserve">3.3.3 Evaluating Variance</w:t>
      </w:r>
    </w:p>
    <w:p>
      <w:pPr>
        <w:pStyle w:val="FirstParagraph"/>
      </w:pPr>
      <w:r>
        <w:t xml:space="preserve">Parameters with high variance do not meaningfully influence the model’s fit to the data. To check for parameters with high variance, all parameter estimates are reported with their resulting standard deviations.</w:t>
      </w:r>
    </w:p>
    <w:bookmarkEnd w:id="58"/>
    <w:bookmarkStart w:id="59" w:name="sec-methods-residuals"/>
    <w:p>
      <w:pPr>
        <w:pStyle w:val="Heading3"/>
      </w:pPr>
      <w:r>
        <w:t xml:space="preserve">3.3.4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9"/>
    <w:bookmarkStart w:id="60" w:name="sec-methods-jitter"/>
    <w:p>
      <w:pPr>
        <w:pStyle w:val="Heading3"/>
      </w:pPr>
      <w:r>
        <w:t xml:space="preserve">3.3.5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of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60"/>
    <w:bookmarkStart w:id="61" w:name="sec-methods-retro"/>
    <w:p>
      <w:pPr>
        <w:pStyle w:val="Heading3"/>
      </w:pPr>
      <w:r>
        <w:t xml:space="preserve">3.3.6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1"/>
    <w:bookmarkStart w:id="62" w:name="sec-methods-profiles"/>
    <w:p>
      <w:pPr>
        <w:pStyle w:val="Heading3"/>
      </w:pPr>
      <w:r>
        <w:t xml:space="preserve">3.3.7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2"/>
    <w:bookmarkStart w:id="63" w:name="sec-methods-sensitivity"/>
    <w:p>
      <w:pPr>
        <w:pStyle w:val="Heading3"/>
      </w:pPr>
      <w:r>
        <w:t xml:space="preserve">3.3.8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3"/>
    <w:bookmarkEnd w:id="64"/>
    <w:bookmarkEnd w:id="65"/>
    <w:bookmarkStart w:id="121" w:name="references"/>
    <w:p>
      <w:pPr>
        <w:pStyle w:val="Heading1"/>
      </w:pPr>
      <w:r>
        <w:t xml:space="preserve">References</w:t>
      </w:r>
    </w:p>
    <w:bookmarkStart w:id="120" w:name="refs"/>
    <w:bookmarkStart w:id="67"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6">
        <w:r>
          <w:rPr>
            <w:rStyle w:val="Hyperlink"/>
          </w:rPr>
          <w:t xml:space="preserve">https://doi.org/10.1111/2041-210x.13081</w:t>
        </w:r>
      </w:hyperlink>
    </w:p>
    <w:bookmarkEnd w:id="67"/>
    <w:bookmarkStart w:id="69"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8">
        <w:r>
          <w:rPr>
            <w:rStyle w:val="Hyperlink"/>
          </w:rPr>
          <w:t xml:space="preserve">https://doi.org/10.1016/j.fishres.2021.105959</w:t>
        </w:r>
      </w:hyperlink>
    </w:p>
    <w:bookmarkEnd w:id="69"/>
    <w:bookmarkStart w:id="71"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70">
        <w:r>
          <w:rPr>
            <w:rStyle w:val="Hyperlink"/>
          </w:rPr>
          <w:t xml:space="preserve">https://doi.org/10.3354/meps246265</w:t>
        </w:r>
      </w:hyperlink>
    </w:p>
    <w:bookmarkEnd w:id="71"/>
    <w:bookmarkStart w:id="73" w:name="ref-cope2024"/>
    <w:p>
      <w:pPr>
        <w:pStyle w:val="Bibliography"/>
      </w:pPr>
      <w:r>
        <w:t xml:space="preserve">Cope, J. (2024).</w:t>
      </w:r>
      <w:r>
        <w:t xml:space="preserve"> </w:t>
      </w:r>
      <w:r>
        <w:rPr>
          <w:i/>
          <w:iCs/>
        </w:rPr>
        <w:t xml:space="preserve">Stock assessment continuum tool</w:t>
      </w:r>
      <w:r>
        <w:t xml:space="preserve">.</w:t>
      </w:r>
      <w:r>
        <w:t xml:space="preserve"> </w:t>
      </w:r>
      <w:hyperlink r:id="rId72">
        <w:r>
          <w:rPr>
            <w:rStyle w:val="Hyperlink"/>
          </w:rPr>
          <w:t xml:space="preserve">https://github.com/shcaba/SS-DL-tool</w:t>
        </w:r>
      </w:hyperlink>
    </w:p>
    <w:bookmarkEnd w:id="73"/>
    <w:bookmarkStart w:id="75"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4">
        <w:r>
          <w:rPr>
            <w:rStyle w:val="Hyperlink"/>
          </w:rPr>
          <w:t xml:space="preserve">https://doi.org/10.1016/j.fishres.2022.106493</w:t>
        </w:r>
      </w:hyperlink>
    </w:p>
    <w:bookmarkEnd w:id="75"/>
    <w:bookmarkStart w:id="77"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6">
        <w:r>
          <w:rPr>
            <w:rStyle w:val="Hyperlink"/>
          </w:rPr>
          <w:t xml:space="preserve">https://repository.library.noaa.gov/view/noaa/45275</w:t>
        </w:r>
      </w:hyperlink>
    </w:p>
    <w:bookmarkEnd w:id="77"/>
    <w:bookmarkStart w:id="79"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8">
        <w:r>
          <w:rPr>
            <w:rStyle w:val="Hyperlink"/>
          </w:rPr>
          <w:t xml:space="preserve">https://sedarweb.org/documents/sedar-84-dw-11-sedar-84-trip-interview-program-tip-size-composition-analysis-of-stoplight-parrotfish-sparisoma-viride-in-st-croix-u-s-caribbean-1983-2022/</w:t>
        </w:r>
      </w:hyperlink>
    </w:p>
    <w:bookmarkEnd w:id="79"/>
    <w:bookmarkStart w:id="81"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80">
        <w:r>
          <w:rPr>
            <w:rStyle w:val="Hyperlink"/>
          </w:rPr>
          <w:t xml:space="preserve">https://sedarweb.org/documents/sedar-84-dw-14-fishery-independent-reef-fish-visual-survey-population-density-and-length-composition-for-stoplight-parrotfish-in-the-st-croix/</w:t>
        </w:r>
      </w:hyperlink>
    </w:p>
    <w:bookmarkEnd w:id="81"/>
    <w:bookmarkStart w:id="83" w:name="ref-grove2021"/>
    <w:p>
      <w:pPr>
        <w:pStyle w:val="Bibliography"/>
      </w:pPr>
      <w:r>
        <w:t xml:space="preserve">Grove, L. J. W., Blondeau, J., &amp; Ault, J. S. (2021).</w:t>
      </w:r>
      <w:r>
        <w:t xml:space="preserve"> </w:t>
      </w:r>
      <w:r>
        <w:rPr>
          <w:i/>
          <w:iCs/>
        </w:rPr>
        <w:t xml:space="preserve">National coral reef monitoring program</w:t>
      </w:r>
      <w:r>
        <w:rPr>
          <w:i/>
          <w:iCs/>
        </w:rPr>
        <w:t xml:space="preserve">’</w:t>
      </w:r>
      <w:r>
        <w:rPr>
          <w:i/>
          <w:iCs/>
        </w:rPr>
        <w:t xml:space="preserve">s reef fish visual census metadata for the u.s. caribbean.</w:t>
      </w:r>
      <w:r>
        <w:t xml:space="preserve"> </w:t>
      </w:r>
      <w:r>
        <w:t xml:space="preserve">(p. 55).</w:t>
      </w:r>
      <w:r>
        <w:t xml:space="preserve"> </w:t>
      </w:r>
      <w:hyperlink r:id="rId82">
        <w:r>
          <w:rPr>
            <w:rStyle w:val="Hyperlink"/>
          </w:rPr>
          <w:t xml:space="preserve">https://sedarweb.org/documents/sedar-80-wp-02-national-coral-reef-monitoring-programs-reef-fish-visual-census-metadata-for-the-u-s-caribbean/</w:t>
        </w:r>
      </w:hyperlink>
    </w:p>
    <w:bookmarkEnd w:id="83"/>
    <w:bookmarkStart w:id="85"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4">
        <w:r>
          <w:rPr>
            <w:rStyle w:val="Hyperlink"/>
          </w:rPr>
          <w:t xml:space="preserve">https://doi.org/10.1093/icesjms/fsu131</w:t>
        </w:r>
      </w:hyperlink>
    </w:p>
    <w:bookmarkEnd w:id="85"/>
    <w:bookmarkStart w:id="87"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6">
        <w:r>
          <w:rPr>
            <w:rStyle w:val="Hyperlink"/>
          </w:rPr>
          <w:t xml:space="preserve">https://doi.org/10.1016/j.fishres.2022.106477</w:t>
        </w:r>
      </w:hyperlink>
    </w:p>
    <w:bookmarkEnd w:id="87"/>
    <w:bookmarkStart w:id="89"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8">
        <w:r>
          <w:rPr>
            <w:rStyle w:val="Hyperlink"/>
          </w:rPr>
          <w:t xml:space="preserve">https://doi.org/10.1139/f95-233</w:t>
        </w:r>
      </w:hyperlink>
    </w:p>
    <w:bookmarkEnd w:id="89"/>
    <w:bookmarkStart w:id="91"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90">
        <w:r>
          <w:rPr>
            <w:rStyle w:val="Hyperlink"/>
          </w:rPr>
          <w:t xml:space="preserve">https://doi.org/10.1139/f97-007</w:t>
        </w:r>
      </w:hyperlink>
    </w:p>
    <w:bookmarkEnd w:id="91"/>
    <w:bookmarkStart w:id="93" w:name="ref-malone2024"/>
    <w:p>
      <w:pPr>
        <w:pStyle w:val="Bibliography"/>
      </w:pPr>
      <w:r>
        <w:t xml:space="preserve">Malone, G. (2024).</w:t>
      </w:r>
      <w:r>
        <w:t xml:space="preserve"> </w:t>
      </w:r>
      <w:r>
        <w:rPr>
          <w:i/>
          <w:iCs/>
        </w:rPr>
        <w:t xml:space="preserve">Summary of management actions for stoplight parrotfish (sparisoma viride) from st. Croix (1985 - 2021) as documented within the management history database</w:t>
      </w:r>
      <w:r>
        <w:t xml:space="preserve"> </w:t>
      </w:r>
      <w:r>
        <w:t xml:space="preserve">(p. 16).</w:t>
      </w:r>
      <w:r>
        <w:t xml:space="preserve"> </w:t>
      </w:r>
      <w:hyperlink r:id="rId92">
        <w:r>
          <w:rPr>
            <w:rStyle w:val="Hyperlink"/>
          </w:rPr>
          <w:t xml:space="preserve">https://sedarweb.org/documents/sedar-84-dw-05-summary-of-management-actions-for-stoplight-parrotfish-sparisoma-viride-from-st-croix-1985-2021-as-documented-within-the-management-history-database/</w:t>
        </w:r>
      </w:hyperlink>
    </w:p>
    <w:bookmarkEnd w:id="93"/>
    <w:bookmarkStart w:id="95"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94">
        <w:r>
          <w:rPr>
            <w:rStyle w:val="Hyperlink"/>
          </w:rPr>
          <w:t xml:space="preserve">https://sedarweb.org/documents/sedar-84-dw-03-sedar-84-commercial-fishery-landings-of-stoplight-parrotfish-sparisoma-viride-in-st-croix-us-caribbean-2012-2022/</w:t>
        </w:r>
      </w:hyperlink>
    </w:p>
    <w:bookmarkEnd w:id="95"/>
    <w:bookmarkStart w:id="97"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6">
        <w:r>
          <w:rPr>
            <w:rStyle w:val="Hyperlink"/>
          </w:rPr>
          <w:t xml:space="preserve">https://doi.org/10.1016/j.fishres.2012.10.012</w:t>
        </w:r>
      </w:hyperlink>
    </w:p>
    <w:bookmarkEnd w:id="97"/>
    <w:bookmarkStart w:id="99" w:name="ref-methot2020"/>
    <w:p>
      <w:pPr>
        <w:pStyle w:val="Bibliography"/>
      </w:pPr>
      <w:r>
        <w:t xml:space="preserve">Methot, R. D., Wetzel, C. R., Taylor, I. G., &amp; Doering, K. (2020). Stock synthesis user manual: Version 3.30.15.</w:t>
      </w:r>
      <w:r>
        <w:t xml:space="preserve"> </w:t>
      </w:r>
      <w:r>
        <w:rPr>
          <w:i/>
          <w:iCs/>
        </w:rPr>
        <w:t xml:space="preserve">Northwest Fisheries Science Center (U.S.)</w:t>
      </w:r>
      <w:r>
        <w:t xml:space="preserve">.</w:t>
      </w:r>
      <w:r>
        <w:t xml:space="preserve"> </w:t>
      </w:r>
      <w:hyperlink r:id="rId98">
        <w:r>
          <w:rPr>
            <w:rStyle w:val="Hyperlink"/>
          </w:rPr>
          <w:t xml:space="preserve">https://doi.org/10.25923/5WPN-QT71</w:t>
        </w:r>
      </w:hyperlink>
    </w:p>
    <w:bookmarkEnd w:id="99"/>
    <w:bookmarkStart w:id="101" w:name="ref-rikhter1976"/>
    <w:p>
      <w:pPr>
        <w:pStyle w:val="Bibliography"/>
      </w:pPr>
      <w:r>
        <w:t xml:space="preserve">Rikhter, V. A., &amp; Efanov, V. N. (1976). 12.</w:t>
      </w:r>
      <w:r>
        <w:t xml:space="preserve"> </w:t>
      </w:r>
      <w:hyperlink r:id="rId100">
        <w:r>
          <w:rPr>
            <w:rStyle w:val="Hyperlink"/>
          </w:rPr>
          <w:t xml:space="preserve">https://www.nafo.int/icnaf/library/docs/1976/res-08.pdf</w:t>
        </w:r>
      </w:hyperlink>
    </w:p>
    <w:bookmarkEnd w:id="101"/>
    <w:bookmarkStart w:id="103"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102">
        <w:r>
          <w:rPr>
            <w:rStyle w:val="Hyperlink"/>
          </w:rPr>
          <w:t xml:space="preserve">https://sedarweb.org/documents/sedar-84-ap-01-report-on-the-status-of-u-s-caribbean-stoplight-parrotfish-sparisoma-viride-age-growth-and-reproductive-biology-for-the-sedar84-stock-assessment</w:t>
        </w:r>
      </w:hyperlink>
    </w:p>
    <w:bookmarkEnd w:id="103"/>
    <w:bookmarkStart w:id="105"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104">
        <w:r>
          <w:rPr>
            <w:rStyle w:val="Hyperlink"/>
          </w:rPr>
          <w:t xml:space="preserve">https://sedarweb.org/documents/sedar-46-final-stock-assessment-report-caribbean-data-limited-species/</w:t>
        </w:r>
      </w:hyperlink>
    </w:p>
    <w:bookmarkEnd w:id="105"/>
    <w:bookmarkStart w:id="107"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6">
        <w:r>
          <w:rPr>
            <w:rStyle w:val="Hyperlink"/>
          </w:rPr>
          <w:t xml:space="preserve">http://sedarweb.org/sedar-57</w:t>
        </w:r>
      </w:hyperlink>
    </w:p>
    <w:bookmarkEnd w:id="107"/>
    <w:bookmarkStart w:id="109" w:name="ref-sedar2022"/>
    <w:p>
      <w:pPr>
        <w:pStyle w:val="Bibliography"/>
      </w:pPr>
      <w:r>
        <w:t xml:space="preserve">SEDAR. (2022).</w:t>
      </w:r>
      <w:r>
        <w:t xml:space="preserve"> </w:t>
      </w:r>
      <w:r>
        <w:rPr>
          <w:i/>
          <w:iCs/>
        </w:rPr>
        <w:t xml:space="preserve">SEDAR 80 US caribbean queen triggerfish puerto rico final stock assessment report</w:t>
      </w:r>
      <w:r>
        <w:t xml:space="preserve">.</w:t>
      </w:r>
      <w:r>
        <w:t xml:space="preserve"> </w:t>
      </w:r>
      <w:hyperlink r:id="rId108">
        <w:r>
          <w:rPr>
            <w:rStyle w:val="Hyperlink"/>
          </w:rPr>
          <w:t xml:space="preserve">https://sedarweb.org/documents/sedar-80-us-caribbean-queen-triggerfish-puerto-rico-final-stock-assessment-report/</w:t>
        </w:r>
      </w:hyperlink>
    </w:p>
    <w:bookmarkEnd w:id="109"/>
    <w:bookmarkStart w:id="111"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10">
        <w:r>
          <w:rPr>
            <w:rStyle w:val="Hyperlink"/>
          </w:rPr>
          <w:t xml:space="preserve">https://sedarweb.org/documents/sedar-84-us-caribbean-stoplight-parrotfish-st-croix-data-workshop-report/</w:t>
        </w:r>
      </w:hyperlink>
    </w:p>
    <w:bookmarkEnd w:id="111"/>
    <w:bookmarkStart w:id="113"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12">
        <w:r>
          <w:rPr>
            <w:rStyle w:val="Hyperlink"/>
          </w:rPr>
          <w:t xml:space="preserve">https://doi.org/10.1016/j.fishres.2021.105924</w:t>
        </w:r>
      </w:hyperlink>
    </w:p>
    <w:bookmarkEnd w:id="113"/>
    <w:bookmarkStart w:id="115"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14">
        <w:r>
          <w:rPr>
            <w:rStyle w:val="Hyperlink"/>
          </w:rPr>
          <w:t xml:space="preserve">https://doi.org/10.1093/icesjms/fsu136</w:t>
        </w:r>
      </w:hyperlink>
    </w:p>
    <w:bookmarkEnd w:id="115"/>
    <w:bookmarkStart w:id="117"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6">
        <w:r>
          <w:rPr>
            <w:rStyle w:val="Hyperlink"/>
          </w:rPr>
          <w:t xml:space="preserve">https://doi.org/10.1111/faf.12427</w:t>
        </w:r>
      </w:hyperlink>
    </w:p>
    <w:bookmarkEnd w:id="117"/>
    <w:bookmarkStart w:id="119"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18">
        <w:r>
          <w:rPr>
            <w:rStyle w:val="Hyperlink"/>
          </w:rPr>
          <w:t xml:space="preserve">https://doi.org/10.1002/eap.1606</w:t>
        </w:r>
      </w:hyperlink>
    </w:p>
    <w:bookmarkEnd w:id="119"/>
    <w:bookmarkEnd w:id="120"/>
    <w:bookmarkEnd w:id="12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106" Target="http://sedarweb.org/sedar-57" TargetMode="External" /><Relationship Type="http://schemas.openxmlformats.org/officeDocument/2006/relationships/hyperlink" Id="rId118" Target="https://doi.org/10.1002/eap.1606" TargetMode="External" /><Relationship Type="http://schemas.openxmlformats.org/officeDocument/2006/relationships/hyperlink" Id="rId96" Target="https://doi.org/10.1016/j.fishres.2012.10.012" TargetMode="External" /><Relationship Type="http://schemas.openxmlformats.org/officeDocument/2006/relationships/hyperlink" Id="rId112" Target="https://doi.org/10.1016/j.fishres.2021.105924" TargetMode="External" /><Relationship Type="http://schemas.openxmlformats.org/officeDocument/2006/relationships/hyperlink" Id="rId68" Target="https://doi.org/10.1016/j.fishres.2021.105959" TargetMode="External" /><Relationship Type="http://schemas.openxmlformats.org/officeDocument/2006/relationships/hyperlink" Id="rId86" Target="https://doi.org/10.1016/j.fishres.2022.106477" TargetMode="External" /><Relationship Type="http://schemas.openxmlformats.org/officeDocument/2006/relationships/hyperlink" Id="rId74" Target="https://doi.org/10.1016/j.fishres.2022.106493" TargetMode="External" /><Relationship Type="http://schemas.openxmlformats.org/officeDocument/2006/relationships/hyperlink" Id="rId84" Target="https://doi.org/10.1093/icesjms/fsu131" TargetMode="External" /><Relationship Type="http://schemas.openxmlformats.org/officeDocument/2006/relationships/hyperlink" Id="rId114" Target="https://doi.org/10.1093/icesjms/fsu136" TargetMode="External" /><Relationship Type="http://schemas.openxmlformats.org/officeDocument/2006/relationships/hyperlink" Id="rId66" Target="https://doi.org/10.1111/2041-210x.13081" TargetMode="External" /><Relationship Type="http://schemas.openxmlformats.org/officeDocument/2006/relationships/hyperlink" Id="rId116" Target="https://doi.org/10.1111/faf.12427" TargetMode="External" /><Relationship Type="http://schemas.openxmlformats.org/officeDocument/2006/relationships/hyperlink" Id="rId88" Target="https://doi.org/10.1139/f95-233" TargetMode="External" /><Relationship Type="http://schemas.openxmlformats.org/officeDocument/2006/relationships/hyperlink" Id="rId90" Target="https://doi.org/10.1139/f97-007" TargetMode="External" /><Relationship Type="http://schemas.openxmlformats.org/officeDocument/2006/relationships/hyperlink" Id="rId98" Target="https://doi.org/10.25923/5WPN-QT71" TargetMode="External" /><Relationship Type="http://schemas.openxmlformats.org/officeDocument/2006/relationships/hyperlink" Id="rId70" Target="https://doi.org/10.3354/meps246265" TargetMode="External" /><Relationship Type="http://schemas.openxmlformats.org/officeDocument/2006/relationships/hyperlink" Id="rId72" Target="https://github.com/shcaba/SS-DL-tool" TargetMode="External" /><Relationship Type="http://schemas.openxmlformats.org/officeDocument/2006/relationships/hyperlink" Id="rId122" Target="https://quarto.org/" TargetMode="External" /><Relationship Type="http://schemas.openxmlformats.org/officeDocument/2006/relationships/hyperlink" Id="rId76" Target="https://repository.library.noaa.gov/view/noaa/45275" TargetMode="External" /><Relationship Type="http://schemas.openxmlformats.org/officeDocument/2006/relationships/hyperlink" Id="rId104" Target="https://sedarweb.org/documents/sedar-46-final-stock-assessment-report-caribbean-data-limited-species/" TargetMode="External" /><Relationship Type="http://schemas.openxmlformats.org/officeDocument/2006/relationships/hyperlink" Id="rId108" Target="https://sedarweb.org/documents/sedar-80-us-caribbean-queen-triggerfish-puerto-rico-final-stock-assessment-report/" TargetMode="External" /><Relationship Type="http://schemas.openxmlformats.org/officeDocument/2006/relationships/hyperlink" Id="rId82" Target="https://sedarweb.org/documents/sedar-80-wp-02-national-coral-reef-monitoring-programs-reef-fish-visual-census-metadata-for-the-u-s-caribbean/" TargetMode="External" /><Relationship Type="http://schemas.openxmlformats.org/officeDocument/2006/relationships/hyperlink" Id="rId102" Target="https://sedarweb.org/documents/sedar-84-ap-01-report-on-the-status-of-u-s-caribbean-stoplight-parrotfish-sparisoma-viride-age-growth-and-reproductive-biology-for-the-sedar84-stock-assessment" TargetMode="External" /><Relationship Type="http://schemas.openxmlformats.org/officeDocument/2006/relationships/hyperlink" Id="rId94" Target="https://sedarweb.org/documents/sedar-84-dw-03-sedar-84-commercial-fishery-landings-of-stoplight-parrotfish-sparisoma-viride-in-st-croix-us-caribbean-2012-2022/" TargetMode="External" /><Relationship Type="http://schemas.openxmlformats.org/officeDocument/2006/relationships/hyperlink" Id="rId92"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8" Target="https://sedarweb.org/documents/sedar-84-dw-11-sedar-84-trip-interview-program-tip-size-composition-analysis-of-stoplight-parrotfish-sparisoma-viride-in-st-croix-u-s-caribbean-1983-2022/" TargetMode="External" /><Relationship Type="http://schemas.openxmlformats.org/officeDocument/2006/relationships/hyperlink" Id="rId80" Target="https://sedarweb.org/documents/sedar-84-dw-14-fishery-independent-reef-fish-visual-survey-population-density-and-length-composition-for-stoplight-parrotfish-in-the-st-croix/" TargetMode="External" /><Relationship Type="http://schemas.openxmlformats.org/officeDocument/2006/relationships/hyperlink" Id="rId110" Target="https://sedarweb.org/documents/sedar-84-us-caribbean-stoplight-parrotfish-st-croix-data-workshop-report/" TargetMode="External" /><Relationship Type="http://schemas.openxmlformats.org/officeDocument/2006/relationships/hyperlink" Id="rId100"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6" Target="http://sedarweb.org/sedar-57" TargetMode="External" /><Relationship Type="http://schemas.openxmlformats.org/officeDocument/2006/relationships/hyperlink" Id="rId118" Target="https://doi.org/10.1002/eap.1606" TargetMode="External" /><Relationship Type="http://schemas.openxmlformats.org/officeDocument/2006/relationships/hyperlink" Id="rId96" Target="https://doi.org/10.1016/j.fishres.2012.10.012" TargetMode="External" /><Relationship Type="http://schemas.openxmlformats.org/officeDocument/2006/relationships/hyperlink" Id="rId112" Target="https://doi.org/10.1016/j.fishres.2021.105924" TargetMode="External" /><Relationship Type="http://schemas.openxmlformats.org/officeDocument/2006/relationships/hyperlink" Id="rId68" Target="https://doi.org/10.1016/j.fishres.2021.105959" TargetMode="External" /><Relationship Type="http://schemas.openxmlformats.org/officeDocument/2006/relationships/hyperlink" Id="rId86" Target="https://doi.org/10.1016/j.fishres.2022.106477" TargetMode="External" /><Relationship Type="http://schemas.openxmlformats.org/officeDocument/2006/relationships/hyperlink" Id="rId74" Target="https://doi.org/10.1016/j.fishres.2022.106493" TargetMode="External" /><Relationship Type="http://schemas.openxmlformats.org/officeDocument/2006/relationships/hyperlink" Id="rId84" Target="https://doi.org/10.1093/icesjms/fsu131" TargetMode="External" /><Relationship Type="http://schemas.openxmlformats.org/officeDocument/2006/relationships/hyperlink" Id="rId114" Target="https://doi.org/10.1093/icesjms/fsu136" TargetMode="External" /><Relationship Type="http://schemas.openxmlformats.org/officeDocument/2006/relationships/hyperlink" Id="rId66" Target="https://doi.org/10.1111/2041-210x.13081" TargetMode="External" /><Relationship Type="http://schemas.openxmlformats.org/officeDocument/2006/relationships/hyperlink" Id="rId116" Target="https://doi.org/10.1111/faf.12427" TargetMode="External" /><Relationship Type="http://schemas.openxmlformats.org/officeDocument/2006/relationships/hyperlink" Id="rId88" Target="https://doi.org/10.1139/f95-233" TargetMode="External" /><Relationship Type="http://schemas.openxmlformats.org/officeDocument/2006/relationships/hyperlink" Id="rId90" Target="https://doi.org/10.1139/f97-007" TargetMode="External" /><Relationship Type="http://schemas.openxmlformats.org/officeDocument/2006/relationships/hyperlink" Id="rId98" Target="https://doi.org/10.25923/5WPN-QT71" TargetMode="External" /><Relationship Type="http://schemas.openxmlformats.org/officeDocument/2006/relationships/hyperlink" Id="rId70" Target="https://doi.org/10.3354/meps246265" TargetMode="External" /><Relationship Type="http://schemas.openxmlformats.org/officeDocument/2006/relationships/hyperlink" Id="rId72" Target="https://github.com/shcaba/SS-DL-tool" TargetMode="External" /><Relationship Type="http://schemas.openxmlformats.org/officeDocument/2006/relationships/hyperlink" Id="rId122" Target="https://quarto.org/" TargetMode="External" /><Relationship Type="http://schemas.openxmlformats.org/officeDocument/2006/relationships/hyperlink" Id="rId76" Target="https://repository.library.noaa.gov/view/noaa/45275" TargetMode="External" /><Relationship Type="http://schemas.openxmlformats.org/officeDocument/2006/relationships/hyperlink" Id="rId104" Target="https://sedarweb.org/documents/sedar-46-final-stock-assessment-report-caribbean-data-limited-species/" TargetMode="External" /><Relationship Type="http://schemas.openxmlformats.org/officeDocument/2006/relationships/hyperlink" Id="rId108" Target="https://sedarweb.org/documents/sedar-80-us-caribbean-queen-triggerfish-puerto-rico-final-stock-assessment-report/" TargetMode="External" /><Relationship Type="http://schemas.openxmlformats.org/officeDocument/2006/relationships/hyperlink" Id="rId82" Target="https://sedarweb.org/documents/sedar-80-wp-02-national-coral-reef-monitoring-programs-reef-fish-visual-census-metadata-for-the-u-s-caribbean/" TargetMode="External" /><Relationship Type="http://schemas.openxmlformats.org/officeDocument/2006/relationships/hyperlink" Id="rId102" Target="https://sedarweb.org/documents/sedar-84-ap-01-report-on-the-status-of-u-s-caribbean-stoplight-parrotfish-sparisoma-viride-age-growth-and-reproductive-biology-for-the-sedar84-stock-assessment" TargetMode="External" /><Relationship Type="http://schemas.openxmlformats.org/officeDocument/2006/relationships/hyperlink" Id="rId94" Target="https://sedarweb.org/documents/sedar-84-dw-03-sedar-84-commercial-fishery-landings-of-stoplight-parrotfish-sparisoma-viride-in-st-croix-us-caribbean-2012-2022/" TargetMode="External" /><Relationship Type="http://schemas.openxmlformats.org/officeDocument/2006/relationships/hyperlink" Id="rId92"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8" Target="https://sedarweb.org/documents/sedar-84-dw-11-sedar-84-trip-interview-program-tip-size-composition-analysis-of-stoplight-parrotfish-sparisoma-viride-in-st-croix-u-s-caribbean-1983-2022/" TargetMode="External" /><Relationship Type="http://schemas.openxmlformats.org/officeDocument/2006/relationships/hyperlink" Id="rId80" Target="https://sedarweb.org/documents/sedar-84-dw-14-fishery-independent-reef-fish-visual-survey-population-density-and-length-composition-for-stoplight-parrotfish-in-the-st-croix/" TargetMode="External" /><Relationship Type="http://schemas.openxmlformats.org/officeDocument/2006/relationships/hyperlink" Id="rId110" Target="https://sedarweb.org/documents/sedar-84-us-caribbean-stoplight-parrotfish-st-croix-data-workshop-report/" TargetMode="External" /><Relationship Type="http://schemas.openxmlformats.org/officeDocument/2006/relationships/hyperlink" Id="rId100"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2025-04-08T21:35:52Z</dcterms:created>
  <dcterms:modified xsi:type="dcterms:W3CDTF">2025-04-08T21:35:52Z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