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jpg" ContentType="image/jpeg"/>
  <Override PartName="/word/media/rId21.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associated across each source of the length composition data.</w:t>
      </w:r>
    </w:p>
    <w:p>
      <w:pPr>
        <w:pStyle w:val="BodyText"/>
      </w:pPr>
      <w:r>
        <w:t xml:space="preserve">All of the configurations resulted in inconclusive results, evidenced by high correlations between the scale of the average recruitment and the fishing mortality rate associated with an assumed initial equilibrium state. Likelihood profile diagnostics further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29" w:name="Xb07629905b3b4dc7301cc029e6263ac7c1e5274"/>
    <w:p>
      <w:pPr>
        <w:pStyle w:val="Heading1"/>
      </w:pPr>
      <w:r>
        <w:t xml:space="preserve">1. Management Overview and Assessment History</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p>
      <w:pPr>
        <w:pStyle w:val="BodyText"/>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 The Parrotfish 2 stock complex includes two indicator stocks and five other species. The indicator species are Redtail Parrotfish and Stoplight Parrotfish. The allowable biological catch for the complex was established using tier 4a of the 4-tired ABC control rule. The complex has an ABC of 85,135 and an ACL of 72,365 pounds whole weight (32,824.2 kg).</w:t>
      </w:r>
    </w:p>
    <w:p>
      <w:pPr>
        <w:pStyle w:val="BodyText"/>
      </w:pPr>
      <w:r>
        <w:t xml:space="preserve">The Southeast Fisheries Science Center provided a SEDAR 84 Data Workshop working paper summarizing federal management actions for Stoplight Parrotfish in St. Croix.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p>
      <w:pPr>
        <w:pStyle w:val="BodyText"/>
      </w:pPr>
      <w:r>
        <w:t xml:space="preserve">Before the current assessment, only one St. Croix Stoplight Parrotfish stock assessment had been conducted</w:t>
      </w:r>
      <w:r>
        <w:t xml:space="preserve"> </w:t>
      </w:r>
      <w:r>
        <w:t xml:space="preserve">(SEDAR 2016)</w:t>
      </w:r>
      <w:r>
        <w:t xml:space="preserve">. The SEDAR 46 evaluations were performed using the Data-Limited Methods Toolkit</w:t>
      </w:r>
      <w:r>
        <w:t xml:space="preserve"> </w:t>
      </w:r>
      <w:r>
        <w:t xml:space="preserve">(Carruthers and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4" w:name="fig-uscar"/>
          <w:p>
            <w:pPr>
              <w:pStyle w:val="Compact"/>
              <w:jc w:val="center"/>
            </w:pPr>
            <w:r>
              <w:drawing>
                <wp:inline>
                  <wp:extent cx="4114800" cy="5323522"/>
                  <wp:effectExtent b="0" l="0" r="0" t="0"/>
                  <wp:docPr descr="" title="" id="22" name="Picture"/>
                  <a:graphic>
                    <a:graphicData uri="http://schemas.openxmlformats.org/drawingml/2006/picture">
                      <pic:pic>
                        <pic:nvPicPr>
                          <pic:cNvPr descr="https://www.fisheries.noaa.gov/s3//styles/original/s3/dam-migration/island_group_management_areas.jpg?itok=5wvkxme2" id="23" name="Picture"/>
                          <pic:cNvPicPr>
                            <a:picLocks noChangeArrowheads="1" noChangeAspect="1"/>
                          </pic:cNvPicPr>
                        </pic:nvPicPr>
                        <pic:blipFill>
                          <a:blip r:embed="rId21"/>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8" w:name="fig-eez"/>
          <w:p>
            <w:pPr>
              <w:pStyle w:val="Compact"/>
              <w:jc w:val="center"/>
            </w:pPr>
            <w:r>
              <w:drawing>
                <wp:inline>
                  <wp:extent cx="4572000" cy="3531870"/>
                  <wp:effectExtent b="0" l="0" r="0" t="0"/>
                  <wp:docPr descr="" title="" id="26" name="Picture"/>
                  <a:graphic>
                    <a:graphicData uri="http://schemas.openxmlformats.org/drawingml/2006/picture">
                      <pic:pic>
                        <pic:nvPicPr>
                          <pic:cNvPr descr="https://www.fisheries.noaa.gov/s3//styles/original/s3/dam-migration/carib_map_stx.jpg?itok=yeYHZ8gy" id="27" name="Picture"/>
                          <pic:cNvPicPr>
                            <a:picLocks noChangeArrowheads="1" noChangeAspect="1"/>
                          </pic:cNvPicPr>
                        </pic:nvPicPr>
                        <pic:blipFill>
                          <a:blip r:embed="rId25"/>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8"/>
        </w:tc>
      </w:tr>
    </w:tbl>
    <w:bookmarkEnd w:id="29"/>
    <w:bookmarkStart w:id="30" w:name="modeling-framework"/>
    <w:p>
      <w:pPr>
        <w:pStyle w:val="Heading1"/>
      </w:pPr>
      <w:r>
        <w:t xml:space="preserve">2. Modeling Framework</w:t>
      </w:r>
    </w:p>
    <w:p>
      <w:pPr>
        <w:pStyle w:val="FirstParagraph"/>
      </w:pPr>
      <w:r>
        <w:rPr>
          <w:b/>
          <w:bCs/>
        </w:rPr>
        <w:t xml:space="preserve">Stock Synthesis was the modeling approach applied in this assessment because of its compatibility with the available data and consistent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and Wetzel 2013)</w:t>
      </w:r>
      <w:r>
        <w:t xml:space="preserve">. It has also been used for previous data-limited and data-moderate SEDAR assessments, including the SEDAR 57 assessments and subsequent updates for Caribbean Spiny Lobster, and the SEDAR 80 assessments for Queen Triggerfish</w:t>
      </w:r>
      <w:r>
        <w:t xml:space="preserve"> </w:t>
      </w:r>
      <w:r>
        <w:t xml:space="preserve">(SEDAR 2019, 2022)</w:t>
      </w:r>
      <w:r>
        <w:t xml:space="preserve">. The Stock Synthesis modeling framework is a compatible tool for SEDAR stock assessments for species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Furthermore, Stock Synthesis is particularly useful for incorporating complex biological dynamics, such as hermaphroditism and continuous recruitment, which are critical for accurately assessing St. Croix Stoplight Parrotfish. Hermaphroditism directly influences reproductive potential and stock sustainability, making it essential to model sex transitions appropriately. Additionally, assuming a single pulse of annual recruitment oversimplifies the population structure by failing to account for the continuous presence of multiple size classes in the stock. Continuous recruitment modeling enables the assessment to recognize that fish born within the same calendar year can reach vulnerable sizes at different times, affecting catch dynamics and stock projections. Finally, R packages such as R4ss and SS3diags allow critical evaluations of model reliability and facilitate model comparisons. across alternative assumptions and parameter values, to evaluate the sensitivity of results to modeling decisions implemented with the Stock Synthesis framework [</w:t>
      </w:r>
      <w:r>
        <w:t xml:space="preserve">Taylor et al. (2021)</w:t>
      </w:r>
      <w:r>
        <w:t xml:space="preserve">; @carvalho2021].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0"/>
    <w:bookmarkStart w:id="35" w:name="available-data"/>
    <w:p>
      <w:pPr>
        <w:pStyle w:val="Heading1"/>
      </w:pPr>
      <w:r>
        <w:t xml:space="preserve">3. Available Data</w:t>
      </w:r>
    </w:p>
    <w:p>
      <w:pPr>
        <w:pStyle w:val="FirstParagraph"/>
      </w:pPr>
      <w:r>
        <w:t xml:space="preserve">The data available for use in the current assessment are summarized in the SEDAR 84 US Caribbean Stoplight Parrotfish St. Croix Data Workshop Report</w:t>
      </w:r>
      <w:r>
        <w:t xml:space="preserve"> </w:t>
      </w:r>
      <w:r>
        <w:t xml:space="preserve">(SEDAR 2024)</w:t>
      </w:r>
      <w:r>
        <w:t xml:space="preserve">. Additional details are provided across the respective references identified below:</w:t>
      </w:r>
    </w:p>
    <w:p>
      <w:pPr>
        <w:pStyle w:val="Compact"/>
        <w:numPr>
          <w:ilvl w:val="0"/>
          <w:numId w:val="1002"/>
        </w:numPr>
      </w:pPr>
      <w:r>
        <w:t xml:space="preserve">Landings from self-reported commercial fisher logbook data</w:t>
      </w:r>
      <w:r>
        <w:t xml:space="preserve"> </w:t>
      </w:r>
      <w:r>
        <w:t xml:space="preserve">(Martínez Rivera, Johnson, and Orhun 2024)</w:t>
      </w:r>
    </w:p>
    <w:p>
      <w:pPr>
        <w:pStyle w:val="Compact"/>
        <w:numPr>
          <w:ilvl w:val="0"/>
          <w:numId w:val="1002"/>
        </w:numPr>
      </w:pPr>
      <w:r>
        <w:t xml:space="preserve">Length compositions from shore-based port-sampling of commercial landings</w:t>
      </w:r>
      <w:r>
        <w:t xml:space="preserve"> </w:t>
      </w:r>
      <w:r>
        <w:t xml:space="preserve">(Godwin, Rios, and Dettloff 2024)</w:t>
      </w:r>
    </w:p>
    <w:p>
      <w:pPr>
        <w:pStyle w:val="Compact"/>
        <w:numPr>
          <w:ilvl w:val="0"/>
          <w:numId w:val="1002"/>
        </w:numPr>
      </w:pPr>
      <w:r>
        <w:t xml:space="preserve">Length compositions from a fishery-independent stratified random sampling survey of reef fish</w:t>
      </w:r>
      <w:r>
        <w:t xml:space="preserve"> </w:t>
      </w:r>
      <w:r>
        <w:t xml:space="preserve">(Grove, Blondeau, and Ault 2024)</w:t>
      </w:r>
    </w:p>
    <w:p>
      <w:pPr>
        <w:pStyle w:val="Compact"/>
        <w:numPr>
          <w:ilvl w:val="0"/>
          <w:numId w:val="1002"/>
        </w:numPr>
      </w:pPr>
      <w:r>
        <w:t xml:space="preserve">Index of abundance from a fishery-independent stratified random sampling survey of reef fish</w:t>
      </w:r>
      <w:r>
        <w:t xml:space="preserve"> </w:t>
      </w:r>
      <w:r>
        <w:t xml:space="preserve">(Grove, Blondeau, and Ault 2024)</w:t>
      </w:r>
    </w:p>
    <w:p>
      <w:pPr>
        <w:pStyle w:val="Compact"/>
        <w:numPr>
          <w:ilvl w:val="0"/>
          <w:numId w:val="1002"/>
        </w:numPr>
      </w:pPr>
      <w:r>
        <w:t xml:space="preserve">Life history information from otolith analysis and gonad histology</w:t>
      </w:r>
      <w:r>
        <w:t xml:space="preserve"> </w:t>
      </w:r>
      <w:r>
        <w:t xml:space="preserve">(Rivera Hernández and Shervette 2024)</w:t>
      </w:r>
    </w:p>
    <w:p>
      <w:pPr>
        <w:pStyle w:val="FirstParagraph"/>
      </w:pPr>
      <w:r>
        <w:rPr>
          <w:b/>
          <w:bCs/>
        </w:rPr>
        <w:t xml:space="preserve">Based on the available data, the assessment was configured with one diving fleet and one fishery-independent survey.</w:t>
      </w:r>
    </w:p>
    <w:p>
      <w:pPr>
        <w:pStyle w:val="BodyText"/>
      </w:pPr>
      <w:r>
        <w:t xml:space="preserve">The remainder of this section documents the input data, assumptions, configurations, and equations explored using Stock Synthesis based on the available data.</w:t>
      </w:r>
    </w:p>
    <w:bookmarkStart w:id="33" w:name="commercial-dive-fleet"/>
    <w:p>
      <w:pPr>
        <w:pStyle w:val="Heading2"/>
      </w:pPr>
      <w:r>
        <w:t xml:space="preserve">3.1 Commercial Dive Fleet</w:t>
      </w:r>
    </w:p>
    <w:bookmarkStart w:id="31" w:name="catch-data"/>
    <w:p>
      <w:pPr>
        <w:pStyle w:val="Heading3"/>
      </w:pPr>
      <w:r>
        <w:t xml:space="preserve">3.1.1 Catch Data</w:t>
      </w:r>
    </w:p>
    <w:p>
      <w:pPr>
        <w:pStyle w:val="FirstParagraph"/>
      </w:pPr>
      <w:r>
        <w:t xml:space="preserve">The catch inputs for diving fleet came from the Caribbean Commercial Logbook data.</w:t>
      </w:r>
    </w:p>
    <w:p>
      <w:pPr>
        <w:pStyle w:val="BodyText"/>
      </w:pPr>
      <w:r>
        <w:t xml:space="preserve">The years of the available species-specific logbook data determined the start and end years of the Stock Synthesis models. They were 2012 and 2022, respectively.</w:t>
      </w:r>
      <w:r>
        <w:t xml:space="preserve"> </w:t>
      </w:r>
      <w:r>
        <w:t xml:space="preserve">Based on discussions at the data workshop characterizing the diver fleet, the assessment assumed no discarding nor discard mortality associated with the dive fleet.</w:t>
      </w:r>
      <w:r>
        <w:t xml:space="preserve"> </w:t>
      </w:r>
      <w:r>
        <w:t xml:space="preserve">- The catch was treated as if it as the available</w:t>
      </w:r>
    </w:p>
    <w:bookmarkEnd w:id="31"/>
    <w:bookmarkStart w:id="32" w:name="size-composition-data"/>
    <w:p>
      <w:pPr>
        <w:pStyle w:val="Heading3"/>
      </w:pPr>
      <w:r>
        <w:t xml:space="preserve">3.1.2 Size Composition Data</w:t>
      </w:r>
    </w:p>
    <w:p>
      <w:pPr>
        <w:pStyle w:val="FirstParagraph"/>
      </w:pPr>
      <w:r>
        <w:t xml:space="preserve">Corresponding gear-specific size compositions came from the Trip Interview Program. Since multiple fish can be obtained from a single sampled trip, the lengths are not independent observations. Therefore, the relative model weighting of the dive fleet length compositions was based on the number of trips sampled.</w:t>
      </w:r>
    </w:p>
    <w:p>
      <w:pPr>
        <w:pStyle w:val="BodyText"/>
      </w:pPr>
      <w:r>
        <w:rPr>
          <w:b/>
          <w:bCs/>
        </w:rPr>
        <w:t xml:space="preserve">Due to low sample sizes, the fishery-dependent commercial dive fleet length composition data were collapsed across all years and used in the model to inform the fleet selectivity.</w:t>
      </w:r>
    </w:p>
    <w:p>
      <w:pPr>
        <w:pStyle w:val="BodyText"/>
      </w:pPr>
      <w:r>
        <w:t xml:space="preserve">Additional fleet-fleet inputs required for the Stock Synthesis model included an input standard error for the landings and an equilibrium catch value. Since the data-limited implementation of Stock Synthesis is conditioned on landings, the input standard error for the landings was set to 0.01. Although the data-limited implementation of SS3 will inherently nearly exactly fit the annual landings time series, a higher CV of 0.3 was explored via sensitivity analysis (see</w:t>
      </w:r>
      <w:r>
        <w:t xml:space="preserve"> </w:t>
      </w:r>
      <w:r>
        <w:rPr>
          <w:b/>
          <w:bCs/>
        </w:rPr>
        <w:t xml:space="preserve">?@sec-methods-sensitivity</w:t>
      </w:r>
      <w:r>
        <w:t xml:space="preserve">).</w:t>
      </w:r>
    </w:p>
    <w:p>
      <w:pPr>
        <w:pStyle w:val="BodyText"/>
      </w:pPr>
      <w:r>
        <w:t xml:space="preserve">It is important to note that the stock was not at an unexploited equilibrium at the start year of the available time series. The fishery had been ongoing for decades, and the total fishing effort in St. Croix in 2012 was undergoing a meaningful decline; thus, an initial F was estimated for the Commercial undefined fishery, and an initial equilibrium catch was input as 30 metric tons, a little over twice the geometric mean of the catches from 2012-2014. The initial equilibrium catch was explored via likelihood profiling.</w:t>
      </w:r>
    </w:p>
    <w:p>
      <w:pPr>
        <w:pStyle w:val="BodyText"/>
      </w:pPr>
      <w:r>
        <w:t xml:space="preserve">One fishery-independent survey was modeled with an abundance index and associated length compositions for 2012, 2015, 2017, 2019, and 2021. The data were from the National Coral Reef Monitoring Program (NCRMP) Reef Visual Census</w:t>
      </w:r>
      <w:r>
        <w:t xml:space="preserve"> </w:t>
      </w:r>
      <w:r>
        <w:t xml:space="preserve">(Grove, Blondeau, and Ault 2024)</w:t>
      </w:r>
      <w:r>
        <w:t xml:space="preserve">. The relative model weighting of the NCRMP survey length compositions across years was based on the number of paired dives.</w:t>
      </w:r>
    </w:p>
    <w:p>
      <w:pPr>
        <w:pStyle w:val="BodyText"/>
      </w:pPr>
      <w:r>
        <w:t xml:space="preserve">Although the three most recent years of the NCRMP survey provided counts by individual lengths measured to the nearest centimeter, the data in St. Croix before 2017 were collected in 5-centimeter bins. Therefore, the length data inputs for both the dive fleet and the three most recent years of the NCRMP survey 1-centimeter length measurements were binned to match the NCRMP 2012 and 2015 5-centimeter bins accordingly. Further, due to the large proportion of small fish observed in the NCRMP survey, the smallest two bins, [1-6) and [6-11), were collapsed into a single bin [1-11). Note that SS3 allows the length bins of the data inputs to be larger than the bins used in the population model. Although the size bins of all the length data inputs were large (≥ 5 centimeters), the model’s simulated population bin size was 1-centimeter bins, with a plus group for the largest bin, greater than or equal to 41 centimeters fork length. Although the population is modeled at a higher resolution concerning bin size, the likelihood function, which aims to match the observed data inputs and the simulated population estimates, operates at the resolution of the data inputs (≥5 centimeters).</w:t>
      </w:r>
    </w:p>
    <w:bookmarkEnd w:id="32"/>
    <w:bookmarkEnd w:id="33"/>
    <w:bookmarkStart w:id="34" w:name="life-history"/>
    <w:p>
      <w:pPr>
        <w:pStyle w:val="Heading2"/>
      </w:pPr>
      <w:r>
        <w:t xml:space="preserve">3.2 Life History</w:t>
      </w:r>
    </w:p>
    <w:p>
      <w:pPr>
        <w:pStyle w:val="FirstParagraph"/>
      </w:pPr>
      <w:r>
        <w:t xml:space="preserve">The life history data used in the assessment included longevity-informed natural mortality, growth (length-age), length-weight, maturity, and sex ratios obtained from 1,801 samples of Stoplight Parrotfish collected across the U.S. Caribbean from 2013 to 2023</w:t>
      </w:r>
      <w:r>
        <w:t xml:space="preserve"> </w:t>
      </w:r>
      <w:r>
        <w:t xml:space="preserve">(Rivera Hernández and Shervette 2024)</w:t>
      </w:r>
      <w:r>
        <w:t xml:space="preserve">.</w:t>
      </w:r>
    </w:p>
    <w:bookmarkEnd w:id="34"/>
    <w:bookmarkEnd w:id="35"/>
    <w:bookmarkStart w:id="65" w:name="references"/>
    <w:p>
      <w:pPr>
        <w:pStyle w:val="Heading1"/>
      </w:pPr>
      <w:r>
        <w:t xml:space="preserve">References</w:t>
      </w:r>
    </w:p>
    <w:bookmarkStart w:id="64" w:name="refs"/>
    <w:bookmarkStart w:id="37" w:name="ref-carruthers2018"/>
    <w:p>
      <w:pPr>
        <w:pStyle w:val="Bibliography"/>
      </w:pPr>
      <w:r>
        <w:t xml:space="preserve">Carruthers, Thomas R., and Adrian R. Hordyk. 2018.</w:t>
      </w:r>
      <w:r>
        <w:t xml:space="preserve"> </w:t>
      </w:r>
      <w:r>
        <w:t xml:space="preserve">“The Data</w:t>
      </w:r>
      <w:r>
        <w:t xml:space="preserve">-</w:t>
      </w:r>
      <w:r>
        <w:t xml:space="preserve">Limited Methods Toolkit (DLMtool): An R Package for Informing Management of Data</w:t>
      </w:r>
      <w:r>
        <w:t xml:space="preserve">-</w:t>
      </w:r>
      <w:r>
        <w:t xml:space="preserve">Limited Populations.”</w:t>
      </w:r>
      <w:r>
        <w:t xml:space="preserve"> </w:t>
      </w:r>
      <w:r>
        <w:t xml:space="preserve">Edited by Samantha Price.</w:t>
      </w:r>
      <w:r>
        <w:t xml:space="preserve"> </w:t>
      </w:r>
      <w:r>
        <w:rPr>
          <w:i/>
          <w:iCs/>
        </w:rPr>
        <w:t xml:space="preserve">Methods in Ecology and Evolution</w:t>
      </w:r>
      <w:r>
        <w:t xml:space="preserve"> </w:t>
      </w:r>
      <w:r>
        <w:t xml:space="preserve">9 (12): 2388–95.</w:t>
      </w:r>
      <w:r>
        <w:t xml:space="preserve"> </w:t>
      </w:r>
      <w:hyperlink r:id="rId36">
        <w:r>
          <w:rPr>
            <w:rStyle w:val="Hyperlink"/>
          </w:rPr>
          <w:t xml:space="preserve">https://doi.org/10.1111/2041-210x.13081</w:t>
        </w:r>
      </w:hyperlink>
      <w:r>
        <w:t xml:space="preserve">.</w:t>
      </w:r>
    </w:p>
    <w:bookmarkEnd w:id="37"/>
    <w:bookmarkStart w:id="39" w:name="ref-cope2024"/>
    <w:p>
      <w:pPr>
        <w:pStyle w:val="Bibliography"/>
      </w:pPr>
      <w:r>
        <w:t xml:space="preserve">Cope, Jason. 2024.</w:t>
      </w:r>
      <w:r>
        <w:t xml:space="preserve"> </w:t>
      </w:r>
      <w:r>
        <w:rPr>
          <w:i/>
          <w:iCs/>
        </w:rPr>
        <w:t xml:space="preserve">Stock Assessment Continuum Tool</w:t>
      </w:r>
      <w:r>
        <w:t xml:space="preserve">.</w:t>
      </w:r>
      <w:r>
        <w:t xml:space="preserve"> </w:t>
      </w:r>
      <w:hyperlink r:id="rId38">
        <w:r>
          <w:rPr>
            <w:rStyle w:val="Hyperlink"/>
          </w:rPr>
          <w:t xml:space="preserve">https://github.com/shcaba/SS-DL-tool</w:t>
        </w:r>
      </w:hyperlink>
      <w:r>
        <w:t xml:space="preserve">.</w:t>
      </w:r>
    </w:p>
    <w:bookmarkEnd w:id="39"/>
    <w:bookmarkStart w:id="41" w:name="ref-crabtree"/>
    <w:p>
      <w:pPr>
        <w:pStyle w:val="Bibliography"/>
      </w:pPr>
      <w:r>
        <w:t xml:space="preserve">Crabtree, Roy E. 2019.</w:t>
      </w:r>
      <w:r>
        <w:t xml:space="preserve"> </w:t>
      </w:r>
      <w:r>
        <w:t xml:space="preserve">“Comprehensive Fishery Management Plan for the St. Croix Exclusive Economic Zone Including Environmental Assessment, Regulatory Impact Review, and Fishery Impact Statement.”</w:t>
      </w:r>
      <w:r>
        <w:t xml:space="preserve"> </w:t>
      </w:r>
      <w:hyperlink r:id="rId40">
        <w:r>
          <w:rPr>
            <w:rStyle w:val="Hyperlink"/>
          </w:rPr>
          <w:t xml:space="preserve">https://repository.library.noaa.gov/view/noaa/45275</w:t>
        </w:r>
      </w:hyperlink>
      <w:r>
        <w:t xml:space="preserve">.</w:t>
      </w:r>
    </w:p>
    <w:bookmarkEnd w:id="41"/>
    <w:bookmarkStart w:id="43" w:name="ref-godwin2024"/>
    <w:p>
      <w:pPr>
        <w:pStyle w:val="Bibliography"/>
      </w:pPr>
      <w:r>
        <w:t xml:space="preserve">Godwin, Katherine, Adyan Rios, and Kyle Dettloff. 2024.</w:t>
      </w:r>
      <w:r>
        <w:t xml:space="preserve"> </w:t>
      </w:r>
      <w:r>
        <w:t xml:space="preserve">“SEDAR 84 Trip Interview Program (TIP) Size Composition Analysis of Stoplight Parrotfish (Sparisoma Viride) in St. Croix, u.s. Caribbean, 1983-2022.”</w:t>
      </w:r>
      <w:r>
        <w:t xml:space="preserve"> </w:t>
      </w:r>
      <w:r>
        <w:t xml:space="preserve">North Charleston, SC.</w:t>
      </w:r>
      <w:r>
        <w:t xml:space="preserve"> </w:t>
      </w:r>
      <w:hyperlink r:id="rId42">
        <w:r>
          <w:rPr>
            <w:rStyle w:val="Hyperlink"/>
          </w:rPr>
          <w:t xml:space="preserve">https://sedarweb.org/documents/sedar-84-dw-11-sedar-84-trip-interview-program-tip-size-composition-analysis-of-stoplight-parrotfish-sparisoma-viride-in-st-croix-u-s-caribbean-1983-2022/</w:t>
        </w:r>
      </w:hyperlink>
      <w:r>
        <w:t xml:space="preserve">.</w:t>
      </w:r>
    </w:p>
    <w:bookmarkEnd w:id="43"/>
    <w:bookmarkStart w:id="45" w:name="ref-grove2024"/>
    <w:p>
      <w:pPr>
        <w:pStyle w:val="Bibliography"/>
      </w:pPr>
      <w:r>
        <w:t xml:space="preserve">Grove, Laura Jay W., Jeremiah Blondeau, and J. Ault. 2024.</w:t>
      </w:r>
      <w:r>
        <w:t xml:space="preserve"> </w:t>
      </w:r>
      <w:r>
        <w:t xml:space="preserve">“Fishery-Independent Reef Fish Visual Survey Population Density and Length Composition for Stoplight Parrotfish in the St. Croix.”</w:t>
      </w:r>
      <w:r>
        <w:t xml:space="preserve"> </w:t>
      </w:r>
      <w:r>
        <w:t xml:space="preserve">North Charleston, SC.</w:t>
      </w:r>
      <w:r>
        <w:t xml:space="preserve"> </w:t>
      </w:r>
      <w:hyperlink r:id="rId44">
        <w:r>
          <w:rPr>
            <w:rStyle w:val="Hyperlink"/>
          </w:rPr>
          <w:t xml:space="preserve">https://sedarweb.org/documents/sedar-84-dw-14-fishery-independent-reef-fish-visual-survey-population-density-and-length-composition-for-stoplight-parrotfish-in-the-st-croix/</w:t>
        </w:r>
      </w:hyperlink>
      <w:r>
        <w:t xml:space="preserve">.</w:t>
      </w:r>
    </w:p>
    <w:bookmarkEnd w:id="45"/>
    <w:bookmarkStart w:id="47" w:name="ref-martínezrivera2024"/>
    <w:p>
      <w:pPr>
        <w:pStyle w:val="Bibliography"/>
      </w:pPr>
      <w:r>
        <w:t xml:space="preserve">Martínez Rivera, Stephanie, Kim Johnson, and M. Refik Orhun. 2024.</w:t>
      </w:r>
      <w:r>
        <w:t xml:space="preserve"> </w:t>
      </w:r>
      <w:r>
        <w:t xml:space="preserve">“SEDAR 84 Commercial Fishery Landings of Stoplight Parrotfish (Sparisoma Viride) in St. Croix, US Caribbean, 2012-2022.”</w:t>
      </w:r>
      <w:r>
        <w:t xml:space="preserve"> </w:t>
      </w:r>
      <w:hyperlink r:id="rId46">
        <w:r>
          <w:rPr>
            <w:rStyle w:val="Hyperlink"/>
          </w:rPr>
          <w:t xml:space="preserve">https://sedarweb.org/documents/sedar-84-dw-03-sedar-84-commercial-fishery-landings-of-stoplight-parrotfish-sparisoma-viride-in-st-croix-us-caribbean-2012-2022/</w:t>
        </w:r>
      </w:hyperlink>
      <w:r>
        <w:t xml:space="preserve">.</w:t>
      </w:r>
    </w:p>
    <w:bookmarkEnd w:id="47"/>
    <w:bookmarkStart w:id="49" w:name="ref-methot2020"/>
    <w:p>
      <w:pPr>
        <w:pStyle w:val="Bibliography"/>
      </w:pPr>
      <w:r>
        <w:t xml:space="preserve">Methot, Richard D., Chantel R. Wetzel, Ian G. Taylor, and Kathryn Doering. 2020.</w:t>
      </w:r>
      <w:r>
        <w:t xml:space="preserve"> </w:t>
      </w:r>
      <w:r>
        <w:t xml:space="preserve">“Stock Synthesis User Manual : Version 3.30.15.”</w:t>
      </w:r>
      <w:r>
        <w:t xml:space="preserve"> </w:t>
      </w:r>
      <w:r>
        <w:rPr>
          <w:i/>
          <w:iCs/>
        </w:rPr>
        <w:t xml:space="preserve">Northwest Fisheries Science Center (U.S.)</w:t>
      </w:r>
      <w:r>
        <w:t xml:space="preserve">.</w:t>
      </w:r>
      <w:r>
        <w:t xml:space="preserve"> </w:t>
      </w:r>
      <w:hyperlink r:id="rId48">
        <w:r>
          <w:rPr>
            <w:rStyle w:val="Hyperlink"/>
          </w:rPr>
          <w:t xml:space="preserve">https://doi.org/10.25923/5WPN-QT71</w:t>
        </w:r>
      </w:hyperlink>
      <w:r>
        <w:t xml:space="preserve">.</w:t>
      </w:r>
    </w:p>
    <w:bookmarkEnd w:id="49"/>
    <w:bookmarkStart w:id="51" w:name="ref-methot2013"/>
    <w:p>
      <w:pPr>
        <w:pStyle w:val="Bibliography"/>
      </w:pPr>
      <w:r>
        <w:t xml:space="preserve">Methot, Richard D., and Chantell R. Wetzel. 2013.</w:t>
      </w:r>
      <w:r>
        <w:t xml:space="preserve"> </w:t>
      </w:r>
      <w:r>
        <w:t xml:space="preserve">“Stock Synthesis: A Biological and Statistical Framework for Fish Stock Assessment and Fishery Management.”</w:t>
      </w:r>
      <w:r>
        <w:t xml:space="preserve"> </w:t>
      </w:r>
      <w:r>
        <w:rPr>
          <w:i/>
          <w:iCs/>
        </w:rPr>
        <w:t xml:space="preserve">Fisheries Research</w:t>
      </w:r>
      <w:r>
        <w:t xml:space="preserve"> </w:t>
      </w:r>
      <w:r>
        <w:t xml:space="preserve">142 (May): 86–99.</w:t>
      </w:r>
      <w:r>
        <w:t xml:space="preserve"> </w:t>
      </w:r>
      <w:hyperlink r:id="rId50">
        <w:r>
          <w:rPr>
            <w:rStyle w:val="Hyperlink"/>
          </w:rPr>
          <w:t xml:space="preserve">https://doi.org/10.1016/j.fishres.2012.10.012</w:t>
        </w:r>
      </w:hyperlink>
      <w:r>
        <w:t xml:space="preserve">.</w:t>
      </w:r>
    </w:p>
    <w:bookmarkEnd w:id="51"/>
    <w:bookmarkStart w:id="53" w:name="ref-riverahernández2024"/>
    <w:p>
      <w:pPr>
        <w:pStyle w:val="Bibliography"/>
      </w:pPr>
      <w:r>
        <w:t xml:space="preserve">Rivera Hernández, Jesús M., and Virginia Shervette. 2024.</w:t>
      </w:r>
      <w:r>
        <w:t xml:space="preserve"> </w:t>
      </w:r>
      <w:r>
        <w:t xml:space="preserve">“Report on the Status of U.S. Caribbean Stoplight Parrotfish Sparisoma Viride Age, Growth, and Reproductive Biology for the SEDAR84 Stock Assessment.”</w:t>
      </w:r>
      <w:r>
        <w:t xml:space="preserve"> </w:t>
      </w:r>
      <w:hyperlink r:id="rId52">
        <w:r>
          <w:rPr>
            <w:rStyle w:val="Hyperlink"/>
          </w:rPr>
          <w:t xml:space="preserve">https://sedarweb.org/documents/sedar-84-ap-01-report-on-the-status-of-u-s-caribbean-stoplight-parrotfish-sparisoma-viride-age-growth-and-reproductive-biology-for-the-sedar84-stock-assessment</w:t>
        </w:r>
      </w:hyperlink>
      <w:r>
        <w:t xml:space="preserve">.</w:t>
      </w:r>
    </w:p>
    <w:bookmarkEnd w:id="53"/>
    <w:bookmarkStart w:id="55" w:name="ref-sedar2016"/>
    <w:p>
      <w:pPr>
        <w:pStyle w:val="Bibliography"/>
      </w:pPr>
      <w:r>
        <w:t xml:space="preserve">SEDAR. 2016.</w:t>
      </w:r>
      <w:r>
        <w:t xml:space="preserve"> </w:t>
      </w:r>
      <w:r>
        <w:t xml:space="preserve">“SEDAR 46 Caribbean Data-Limited Species Stock Assessment Report,”</w:t>
      </w:r>
      <w:r>
        <w:t xml:space="preserve"> </w:t>
      </w:r>
      <w:r>
        <w:t xml:space="preserve">April.</w:t>
      </w:r>
      <w:r>
        <w:t xml:space="preserve"> </w:t>
      </w:r>
      <w:hyperlink r:id="rId54">
        <w:r>
          <w:rPr>
            <w:rStyle w:val="Hyperlink"/>
          </w:rPr>
          <w:t xml:space="preserve">https://sedarweb.org/documents/sedar-46-final-stock-assessment-report-caribbean-data-limited-species/</w:t>
        </w:r>
      </w:hyperlink>
      <w:r>
        <w:t xml:space="preserve">.</w:t>
      </w:r>
    </w:p>
    <w:bookmarkEnd w:id="55"/>
    <w:bookmarkStart w:id="57" w:name="ref-sedar2019"/>
    <w:p>
      <w:pPr>
        <w:pStyle w:val="Bibliography"/>
      </w:pPr>
      <w:r>
        <w:t xml:space="preserve">———. 2019.</w:t>
      </w:r>
      <w:r>
        <w:t xml:space="preserve"> </w:t>
      </w:r>
      <w:r>
        <w:t xml:space="preserve">“SEDAR 57 Stock Assessment Report u.s. Caribbean Spiny Lobster.”</w:t>
      </w:r>
      <w:r>
        <w:t xml:space="preserve"> </w:t>
      </w:r>
      <w:r>
        <w:t xml:space="preserve">North Charleston SC.</w:t>
      </w:r>
      <w:r>
        <w:t xml:space="preserve"> </w:t>
      </w:r>
      <w:hyperlink r:id="rId56">
        <w:r>
          <w:rPr>
            <w:rStyle w:val="Hyperlink"/>
          </w:rPr>
          <w:t xml:space="preserve">http://sedarweb.org/sedar-57</w:t>
        </w:r>
      </w:hyperlink>
      <w:r>
        <w:t xml:space="preserve">.</w:t>
      </w:r>
    </w:p>
    <w:bookmarkEnd w:id="57"/>
    <w:bookmarkStart w:id="59" w:name="ref-sedar2022"/>
    <w:p>
      <w:pPr>
        <w:pStyle w:val="Bibliography"/>
      </w:pPr>
      <w:r>
        <w:t xml:space="preserve">———. 2022.</w:t>
      </w:r>
      <w:r>
        <w:t xml:space="preserve"> </w:t>
      </w:r>
      <w:r>
        <w:t xml:space="preserve">“SEDAR 80</w:t>
      </w:r>
      <w:r>
        <w:t xml:space="preserve"> </w:t>
      </w:r>
      <w:r>
        <w:t xml:space="preserve"> </w:t>
      </w:r>
      <w:r>
        <w:t xml:space="preserve">US Caribbean Queen Triggerfish</w:t>
      </w:r>
      <w:r>
        <w:t xml:space="preserve"> </w:t>
      </w:r>
      <w:r>
        <w:t xml:space="preserve"> </w:t>
      </w:r>
      <w:r>
        <w:t xml:space="preserve">Puerto Rico Final Stock Assessment Report,”</w:t>
      </w:r>
      <w:r>
        <w:t xml:space="preserve"> </w:t>
      </w:r>
      <w:r>
        <w:t xml:space="preserve">July.</w:t>
      </w:r>
      <w:r>
        <w:t xml:space="preserve"> </w:t>
      </w:r>
      <w:hyperlink r:id="rId58">
        <w:r>
          <w:rPr>
            <w:rStyle w:val="Hyperlink"/>
          </w:rPr>
          <w:t xml:space="preserve">https://sedarweb.org/documents/sedar-80-us-caribbean-queen-triggerfish-puerto-rico-final-stock-assessment-report/</w:t>
        </w:r>
      </w:hyperlink>
      <w:r>
        <w:t xml:space="preserve">.</w:t>
      </w:r>
    </w:p>
    <w:bookmarkEnd w:id="59"/>
    <w:bookmarkStart w:id="61" w:name="ref-sedar2024"/>
    <w:p>
      <w:pPr>
        <w:pStyle w:val="Bibliography"/>
      </w:pPr>
      <w:r>
        <w:t xml:space="preserve">———. 2024.</w:t>
      </w:r>
      <w:r>
        <w:t xml:space="preserve"> </w:t>
      </w:r>
      <w:r>
        <w:t xml:space="preserve">“SEDAR 84 US Caribbean Stoplight Parrotfish St. Croix Data Workshop Report.”</w:t>
      </w:r>
      <w:r>
        <w:t xml:space="preserve"> </w:t>
      </w:r>
      <w:hyperlink r:id="rId60">
        <w:r>
          <w:rPr>
            <w:rStyle w:val="Hyperlink"/>
          </w:rPr>
          <w:t xml:space="preserve">https://sedarweb.org/documents/sedar-84-us-caribbean-stoplight-parrotfish-st-croix-data-workshop-report/</w:t>
        </w:r>
      </w:hyperlink>
      <w:r>
        <w:t xml:space="preserve">.</w:t>
      </w:r>
    </w:p>
    <w:bookmarkEnd w:id="61"/>
    <w:bookmarkStart w:id="63" w:name="ref-taylor2021"/>
    <w:p>
      <w:pPr>
        <w:pStyle w:val="Bibliography"/>
      </w:pPr>
      <w:r>
        <w:t xml:space="preserve">Taylor, Ian G., Kathryn L. Doering, Kelli F. Johnson, Chantel R. Wetzel, and Ian J. Stewart. 2021.</w:t>
      </w:r>
      <w:r>
        <w:t xml:space="preserve"> </w:t>
      </w:r>
      <w:r>
        <w:t xml:space="preserve">“Beyond Visualizing Catch-at-Age Models: Lessons Learned from the R4ss Package about Software to Support Stock Assessments.”</w:t>
      </w:r>
      <w:r>
        <w:t xml:space="preserve"> </w:t>
      </w:r>
      <w:r>
        <w:rPr>
          <w:i/>
          <w:iCs/>
        </w:rPr>
        <w:t xml:space="preserve">Fisheries Research</w:t>
      </w:r>
      <w:r>
        <w:t xml:space="preserve"> </w:t>
      </w:r>
      <w:r>
        <w:t xml:space="preserve">239 (July): 105924.</w:t>
      </w:r>
      <w:r>
        <w:t xml:space="preserve"> </w:t>
      </w:r>
      <w:hyperlink r:id="rId62">
        <w:r>
          <w:rPr>
            <w:rStyle w:val="Hyperlink"/>
          </w:rPr>
          <w:t xml:space="preserve">https://doi.org/10.1016/j.fishres.2021.105924</w:t>
        </w:r>
      </w:hyperlink>
      <w:r>
        <w:t xml:space="preserve">.</w:t>
      </w:r>
    </w:p>
    <w:bookmarkEnd w:id="63"/>
    <w:bookmarkEnd w:id="64"/>
    <w:bookmarkEnd w:id="6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5" Target="media/rId25.jpg" /><Relationship Type="http://schemas.openxmlformats.org/officeDocument/2006/relationships/image" Id="rId21" Target="media/rId21.jpg" /><Relationship Type="http://schemas.openxmlformats.org/officeDocument/2006/relationships/hyperlink" Id="rId56" Target="http://sedarweb.org/sedar-57" TargetMode="External" /><Relationship Type="http://schemas.openxmlformats.org/officeDocument/2006/relationships/hyperlink" Id="rId50" Target="https://doi.org/10.1016/j.fishres.2012.10.012" TargetMode="External" /><Relationship Type="http://schemas.openxmlformats.org/officeDocument/2006/relationships/hyperlink" Id="rId62" Target="https://doi.org/10.1016/j.fishres.2021.105924" TargetMode="External" /><Relationship Type="http://schemas.openxmlformats.org/officeDocument/2006/relationships/hyperlink" Id="rId36" Target="https://doi.org/10.1111/2041-210x.13081" TargetMode="External" /><Relationship Type="http://schemas.openxmlformats.org/officeDocument/2006/relationships/hyperlink" Id="rId48" Target="https://doi.org/10.25923/5WPN-QT71" TargetMode="External" /><Relationship Type="http://schemas.openxmlformats.org/officeDocument/2006/relationships/hyperlink" Id="rId38" Target="https://github.com/shcaba/SS-DL-tool" TargetMode="External" /><Relationship Type="http://schemas.openxmlformats.org/officeDocument/2006/relationships/hyperlink" Id="rId66" Target="https://quarto.org/" TargetMode="External" /><Relationship Type="http://schemas.openxmlformats.org/officeDocument/2006/relationships/hyperlink" Id="rId40" Target="https://repository.library.noaa.gov/view/noaa/45275" TargetMode="External" /><Relationship Type="http://schemas.openxmlformats.org/officeDocument/2006/relationships/hyperlink" Id="rId54" Target="https://sedarweb.org/documents/sedar-46-final-stock-assessment-report-caribbean-data-limited-species/" TargetMode="External" /><Relationship Type="http://schemas.openxmlformats.org/officeDocument/2006/relationships/hyperlink" Id="rId58" Target="https://sedarweb.org/documents/sedar-80-us-caribbean-queen-triggerfish-puerto-rico-final-stock-assessment-report/" TargetMode="External" /><Relationship Type="http://schemas.openxmlformats.org/officeDocument/2006/relationships/hyperlink" Id="rId52" Target="https://sedarweb.org/documents/sedar-84-ap-01-report-on-the-status-of-u-s-caribbean-stoplight-parrotfish-sparisoma-viride-age-growth-and-reproductive-biology-for-the-sedar84-stock-assessment" TargetMode="External" /><Relationship Type="http://schemas.openxmlformats.org/officeDocument/2006/relationships/hyperlink" Id="rId46" Target="https://sedarweb.org/documents/sedar-84-dw-03-sedar-84-commercial-fishery-landings-of-stoplight-parrotfish-sparisoma-viride-in-st-croix-us-caribbean-2012-2022/" TargetMode="External" /><Relationship Type="http://schemas.openxmlformats.org/officeDocument/2006/relationships/hyperlink" Id="rId42" Target="https://sedarweb.org/documents/sedar-84-dw-11-sedar-84-trip-interview-program-tip-size-composition-analysis-of-stoplight-parrotfish-sparisoma-viride-in-st-croix-u-s-caribbean-1983-2022/" TargetMode="External" /><Relationship Type="http://schemas.openxmlformats.org/officeDocument/2006/relationships/hyperlink" Id="rId44" Target="https://sedarweb.org/documents/sedar-84-dw-14-fishery-independent-reef-fish-visual-survey-population-density-and-length-composition-for-stoplight-parrotfish-in-the-st-croix/" TargetMode="External" /><Relationship Type="http://schemas.openxmlformats.org/officeDocument/2006/relationships/hyperlink" Id="rId60" Target="https://sedarweb.org/documents/sedar-84-us-caribbean-stoplight-parrotfish-st-croix-data-workshop-report/" TargetMode="External" /></Relationships>
</file>

<file path=word/_rels/footnotes.xml.rels><?xml version="1.0" encoding="UTF-8"?><Relationships xmlns="http://schemas.openxmlformats.org/package/2006/relationships"><Relationship Type="http://schemas.openxmlformats.org/officeDocument/2006/relationships/hyperlink" Id="rId56" Target="http://sedarweb.org/sedar-57" TargetMode="External" /><Relationship Type="http://schemas.openxmlformats.org/officeDocument/2006/relationships/hyperlink" Id="rId50" Target="https://doi.org/10.1016/j.fishres.2012.10.012" TargetMode="External" /><Relationship Type="http://schemas.openxmlformats.org/officeDocument/2006/relationships/hyperlink" Id="rId62" Target="https://doi.org/10.1016/j.fishres.2021.105924" TargetMode="External" /><Relationship Type="http://schemas.openxmlformats.org/officeDocument/2006/relationships/hyperlink" Id="rId36" Target="https://doi.org/10.1111/2041-210x.13081" TargetMode="External" /><Relationship Type="http://schemas.openxmlformats.org/officeDocument/2006/relationships/hyperlink" Id="rId48" Target="https://doi.org/10.25923/5WPN-QT71" TargetMode="External" /><Relationship Type="http://schemas.openxmlformats.org/officeDocument/2006/relationships/hyperlink" Id="rId38" Target="https://github.com/shcaba/SS-DL-tool" TargetMode="External" /><Relationship Type="http://schemas.openxmlformats.org/officeDocument/2006/relationships/hyperlink" Id="rId66" Target="https://quarto.org/" TargetMode="External" /><Relationship Type="http://schemas.openxmlformats.org/officeDocument/2006/relationships/hyperlink" Id="rId40" Target="https://repository.library.noaa.gov/view/noaa/45275" TargetMode="External" /><Relationship Type="http://schemas.openxmlformats.org/officeDocument/2006/relationships/hyperlink" Id="rId54" Target="https://sedarweb.org/documents/sedar-46-final-stock-assessment-report-caribbean-data-limited-species/" TargetMode="External" /><Relationship Type="http://schemas.openxmlformats.org/officeDocument/2006/relationships/hyperlink" Id="rId58" Target="https://sedarweb.org/documents/sedar-80-us-caribbean-queen-triggerfish-puerto-rico-final-stock-assessment-report/" TargetMode="External" /><Relationship Type="http://schemas.openxmlformats.org/officeDocument/2006/relationships/hyperlink" Id="rId52" Target="https://sedarweb.org/documents/sedar-84-ap-01-report-on-the-status-of-u-s-caribbean-stoplight-parrotfish-sparisoma-viride-age-growth-and-reproductive-biology-for-the-sedar84-stock-assessment" TargetMode="External" /><Relationship Type="http://schemas.openxmlformats.org/officeDocument/2006/relationships/hyperlink" Id="rId46" Target="https://sedarweb.org/documents/sedar-84-dw-03-sedar-84-commercial-fishery-landings-of-stoplight-parrotfish-sparisoma-viride-in-st-croix-us-caribbean-2012-2022/" TargetMode="External" /><Relationship Type="http://schemas.openxmlformats.org/officeDocument/2006/relationships/hyperlink" Id="rId42" Target="https://sedarweb.org/documents/sedar-84-dw-11-sedar-84-trip-interview-program-tip-size-composition-analysis-of-stoplight-parrotfish-sparisoma-viride-in-st-croix-u-s-caribbean-1983-2022/" TargetMode="External" /><Relationship Type="http://schemas.openxmlformats.org/officeDocument/2006/relationships/hyperlink" Id="rId44" Target="https://sedarweb.org/documents/sedar-84-dw-14-fishery-independent-reef-fish-visual-survey-population-density-and-length-composition-for-stoplight-parrotfish-in-the-st-croix/" TargetMode="External" /><Relationship Type="http://schemas.openxmlformats.org/officeDocument/2006/relationships/hyperlink" Id="rId60" Target="https://sedarweb.org/documents/sedar-84-us-caribbean-stoplight-parrotfish-st-croix-data-workshop-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2025-03-25T20:28:27Z</dcterms:created>
  <dcterms:modified xsi:type="dcterms:W3CDTF">2025-03-25T20:28:27Z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