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jpg" ContentType="image/jpeg"/>
  <Override PartName="/word/media/rId2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9"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4" w:name="fig-uscar"/>
          <w:p>
            <w:pPr>
              <w:pStyle w:val="Compact"/>
              <w:jc w:val="center"/>
            </w:pPr>
            <w:r>
              <w:drawing>
                <wp:inline>
                  <wp:extent cx="4114800" cy="5323522"/>
                  <wp:effectExtent b="0" l="0" r="0" t="0"/>
                  <wp:docPr descr="" title="" id="22" name="Picture"/>
                  <a:graphic>
                    <a:graphicData uri="http://schemas.openxmlformats.org/drawingml/2006/picture">
                      <pic:pic>
                        <pic:nvPicPr>
                          <pic:cNvPr descr="https://www.fisheries.noaa.gov/s3//styles/original/s3/dam-migration/island_group_management_areas.jpg?itok=5wvkxme2" id="23" name="Picture"/>
                          <pic:cNvPicPr>
                            <a:picLocks noChangeArrowheads="1" noChangeAspect="1"/>
                          </pic:cNvPicPr>
                        </pic:nvPicPr>
                        <pic:blipFill>
                          <a:blip r:embed="rId21"/>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8" w:name="fig-eez"/>
          <w:p>
            <w:pPr>
              <w:pStyle w:val="Compact"/>
              <w:jc w:val="center"/>
            </w:pPr>
            <w:r>
              <w:drawing>
                <wp:inline>
                  <wp:extent cx="4572000" cy="3531870"/>
                  <wp:effectExtent b="0" l="0" r="0" t="0"/>
                  <wp:docPr descr="" title="" id="26" name="Picture"/>
                  <a:graphic>
                    <a:graphicData uri="http://schemas.openxmlformats.org/drawingml/2006/picture">
                      <pic:pic>
                        <pic:nvPicPr>
                          <pic:cNvPr descr="https://www.fisheries.noaa.gov/s3//styles/original/s3/dam-migration/carib_map_stx.jpg?itok=yeYHZ8gy" id="27" name="Picture"/>
                          <pic:cNvPicPr>
                            <a:picLocks noChangeArrowheads="1" noChangeAspect="1"/>
                          </pic:cNvPicPr>
                        </pic:nvPicPr>
                        <pic:blipFill>
                          <a:blip r:embed="rId25"/>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8"/>
        </w:tc>
      </w:tr>
    </w:tbl>
    <w:bookmarkEnd w:id="29"/>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1" w:name="data-informed-modeling-decisions"/>
    <w:p>
      <w:pPr>
        <w:pStyle w:val="Heading1"/>
      </w:pPr>
      <w:r>
        <w:t xml:space="preserve">2. Data-Informed Modeling Decisions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6" w:name="sec-data-fleet"/>
    <w:p>
      <w:pPr>
        <w:pStyle w:val="Heading2"/>
      </w:pPr>
      <w:r>
        <w:t xml:space="preserve">2.1 Commercial Dive Fleet</w:t>
      </w:r>
    </w:p>
    <w:bookmarkStart w:id="34"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 Beginning in 1996, part of the commercial landings were reported by species groups (e.g., snappers, groupers, parrotfishes, surgeonfishes, etc.), and by gear (hook and line, gill net, SCUBA, trap, etc.). All commercial fishery data reports included species groups beginning in 1998. In July of 2011, commercial landings were reported by species and gear.</w:t>
      </w:r>
    </w:p>
    <w:p>
      <w:pPr>
        <w:pStyle w:val="BodyText"/>
      </w:pPr>
      <w:r>
        <w:t xml:space="preserve">Various diving gears were combined to establish a dive gear group, and the catch from this group made up 80% of the reported landings (</w:t>
      </w:r>
      <w:hyperlink w:anchor="tbl-catch">
        <w:r>
          <w:rPr>
            <w:rStyle w:val="Hyperlink"/>
          </w:rPr>
          <w:t xml:space="preserve">Table 2.1</w:t>
        </w:r>
      </w:hyperlink>
      <w:r>
        <w:t xml:space="preserve">). Potential outliers were discussed during the assessment webinars and retained as valid trips.</w:t>
      </w:r>
    </w:p>
    <w:tbl>
      <w:tblPr>
        <w:tblStyle w:val="Table"/>
        <w:tblW w:type="pct" w:w="5000"/>
        <w:tblLayout w:type="fixed"/>
        <w:tblLook w:firstRow="0" w:lastRow="0" w:firstColumn="0" w:lastColumn="0" w:noHBand="0" w:noVBand="0" w:val="0000"/>
      </w:tblPr>
      <w:tblGrid>
        <w:gridCol w:w="7920"/>
      </w:tblGrid>
      <w:tr>
        <w:tc>
          <w:tcPr/>
          <w:bookmarkStart w:id="33" w:name="tbl-catch"/>
          <w:p>
            <w:pPr>
              <w:jc w:val="center"/>
            </w:pPr>
            <w:pPr>
              <w:jc w:val="start"/>
              <w:spacing w:before="200"/>
              <w:pStyle w:val="ImageCaption"/>
            </w:pPr>
            <w:r>
              <w:t xml:space="preserve">Table 2.1: Commercial landings of Stoplight Parrotfish reported in St. Croix from</w:t>
            </w:r>
            <w:r>
              <w:t xml:space="preserve"> </w:t>
            </w:r>
            <w:r>
              <w:t xml:space="preserve">2012-2022 in metric tons and pounds by year, along with the percentage of landings that came from each gear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Year</w:t>
                  </w:r>
                </w:p>
              </w:tc>
              <w:tc>
                <w:tcPr/>
                <w:p>
                  <w:pPr>
                    <w:pStyle w:val="Compact"/>
                    <w:jc w:val="right"/>
                    <w:jc w:val="center"/>
                  </w:pPr>
                  <w:r>
                    <w:t xml:space="preserve">Metric Tons</w:t>
                  </w:r>
                </w:p>
              </w:tc>
              <w:tc>
                <w:tcPr/>
                <w:p>
                  <w:pPr>
                    <w:pStyle w:val="Compact"/>
                    <w:jc w:val="right"/>
                    <w:jc w:val="center"/>
                  </w:pPr>
                  <w:r>
                    <w:t xml:space="preserve">Pounds</w:t>
                  </w:r>
                </w:p>
              </w:tc>
              <w:tc>
                <w:tcPr/>
                <w:p>
                  <w:pPr>
                    <w:pStyle w:val="Compact"/>
                    <w:jc w:val="right"/>
                    <w:jc w:val="center"/>
                  </w:pPr>
                  <w:r>
                    <w:t xml:space="preserve">Dive</w:t>
                  </w:r>
                </w:p>
              </w:tc>
              <w:tc>
                <w:tcPr/>
                <w:p>
                  <w:pPr>
                    <w:pStyle w:val="Compact"/>
                    <w:jc w:val="right"/>
                    <w:jc w:val="center"/>
                  </w:pPr>
                  <w:r>
                    <w:t xml:space="preserve">Other</w:t>
                  </w:r>
                </w:p>
              </w:tc>
            </w:tr>
            <w:tr>
              <w:tc>
                <w:tcPr/>
                <w:p>
                  <w:pPr>
                    <w:pStyle w:val="Compact"/>
                    <w:jc w:val="center"/>
                    <w:jc w:val="center"/>
                  </w:pPr>
                  <w:r>
                    <w:t xml:space="preserve">2012</w:t>
                  </w:r>
                </w:p>
              </w:tc>
              <w:tc>
                <w:tcPr/>
                <w:p>
                  <w:pPr>
                    <w:pStyle w:val="Compact"/>
                    <w:jc w:val="right"/>
                    <w:jc w:val="center"/>
                  </w:pPr>
                  <w:r>
                    <w:t xml:space="preserve">18.99</w:t>
                  </w:r>
                </w:p>
              </w:tc>
              <w:tc>
                <w:tcPr/>
                <w:p>
                  <w:pPr>
                    <w:pStyle w:val="Compact"/>
                    <w:jc w:val="right"/>
                    <w:jc w:val="center"/>
                  </w:pPr>
                  <w:r>
                    <w:t xml:space="preserve">41,869</w:t>
                  </w:r>
                </w:p>
              </w:tc>
              <w:tc>
                <w:tcPr/>
                <w:p>
                  <w:pPr>
                    <w:pStyle w:val="Compact"/>
                    <w:jc w:val="right"/>
                    <w:jc w:val="center"/>
                  </w:pPr>
                  <w:r>
                    <w:t xml:space="preserve">97%</w:t>
                  </w:r>
                </w:p>
              </w:tc>
              <w:tc>
                <w:tcPr/>
                <w:p>
                  <w:pPr>
                    <w:pStyle w:val="Compact"/>
                    <w:jc w:val="right"/>
                    <w:jc w:val="center"/>
                  </w:pPr>
                  <w:r>
                    <w:t xml:space="preserve">3%</w:t>
                  </w:r>
                </w:p>
              </w:tc>
            </w:tr>
            <w:tr>
              <w:tc>
                <w:tcPr/>
                <w:p>
                  <w:pPr>
                    <w:pStyle w:val="Compact"/>
                    <w:jc w:val="center"/>
                    <w:jc w:val="center"/>
                  </w:pPr>
                  <w:r>
                    <w:t xml:space="preserve">2013</w:t>
                  </w:r>
                </w:p>
              </w:tc>
              <w:tc>
                <w:tcPr/>
                <w:p>
                  <w:pPr>
                    <w:pStyle w:val="Compact"/>
                    <w:jc w:val="right"/>
                    <w:jc w:val="center"/>
                  </w:pPr>
                  <w:r>
                    <w:t xml:space="preserve">15.32</w:t>
                  </w:r>
                </w:p>
              </w:tc>
              <w:tc>
                <w:tcPr/>
                <w:p>
                  <w:pPr>
                    <w:pStyle w:val="Compact"/>
                    <w:jc w:val="right"/>
                    <w:jc w:val="center"/>
                  </w:pPr>
                  <w:r>
                    <w:t xml:space="preserve">33,773</w:t>
                  </w:r>
                </w:p>
              </w:tc>
              <w:tc>
                <w:tcPr/>
                <w:p>
                  <w:pPr>
                    <w:pStyle w:val="Compact"/>
                    <w:jc w:val="right"/>
                    <w:jc w:val="center"/>
                  </w:pPr>
                  <w:r>
                    <w:t xml:space="preserve">98%</w:t>
                  </w:r>
                </w:p>
              </w:tc>
              <w:tc>
                <w:tcPr/>
                <w:p>
                  <w:pPr>
                    <w:pStyle w:val="Compact"/>
                    <w:jc w:val="right"/>
                    <w:jc w:val="center"/>
                  </w:pPr>
                  <w:r>
                    <w:t xml:space="preserve">2%</w:t>
                  </w:r>
                </w:p>
              </w:tc>
            </w:tr>
            <w:tr>
              <w:tc>
                <w:tcPr/>
                <w:p>
                  <w:pPr>
                    <w:pStyle w:val="Compact"/>
                    <w:jc w:val="center"/>
                    <w:jc w:val="center"/>
                  </w:pPr>
                  <w:r>
                    <w:t xml:space="preserve">2014</w:t>
                  </w:r>
                </w:p>
              </w:tc>
              <w:tc>
                <w:tcPr/>
                <w:p>
                  <w:pPr>
                    <w:pStyle w:val="Compact"/>
                    <w:jc w:val="right"/>
                    <w:jc w:val="center"/>
                  </w:pPr>
                  <w:r>
                    <w:t xml:space="preserve">9.88</w:t>
                  </w:r>
                </w:p>
              </w:tc>
              <w:tc>
                <w:tcPr/>
                <w:p>
                  <w:pPr>
                    <w:pStyle w:val="Compact"/>
                    <w:jc w:val="right"/>
                    <w:jc w:val="center"/>
                  </w:pPr>
                  <w:r>
                    <w:t xml:space="preserve">21,774</w:t>
                  </w:r>
                </w:p>
              </w:tc>
              <w:tc>
                <w:tcPr/>
                <w:p>
                  <w:pPr>
                    <w:pStyle w:val="Compact"/>
                    <w:jc w:val="right"/>
                    <w:jc w:val="center"/>
                  </w:pPr>
                  <w:r>
                    <w:t xml:space="preserve">87%</w:t>
                  </w:r>
                </w:p>
              </w:tc>
              <w:tc>
                <w:tcPr/>
                <w:p>
                  <w:pPr>
                    <w:pStyle w:val="Compact"/>
                    <w:jc w:val="right"/>
                    <w:jc w:val="center"/>
                  </w:pPr>
                  <w:r>
                    <w:t xml:space="preserve">13%</w:t>
                  </w:r>
                </w:p>
              </w:tc>
            </w:tr>
            <w:tr>
              <w:tc>
                <w:tcPr/>
                <w:p>
                  <w:pPr>
                    <w:pStyle w:val="Compact"/>
                    <w:jc w:val="center"/>
                    <w:jc w:val="center"/>
                  </w:pPr>
                  <w:r>
                    <w:t xml:space="preserve">2015</w:t>
                  </w:r>
                </w:p>
              </w:tc>
              <w:tc>
                <w:tcPr/>
                <w:p>
                  <w:pPr>
                    <w:pStyle w:val="Compact"/>
                    <w:jc w:val="right"/>
                    <w:jc w:val="center"/>
                  </w:pPr>
                  <w:r>
                    <w:t xml:space="preserve">11.25</w:t>
                  </w:r>
                </w:p>
              </w:tc>
              <w:tc>
                <w:tcPr/>
                <w:p>
                  <w:pPr>
                    <w:pStyle w:val="Compact"/>
                    <w:jc w:val="right"/>
                    <w:jc w:val="center"/>
                  </w:pPr>
                  <w:r>
                    <w:t xml:space="preserve">24,808</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2016</w:t>
                  </w:r>
                </w:p>
              </w:tc>
              <w:tc>
                <w:tcPr/>
                <w:p>
                  <w:pPr>
                    <w:pStyle w:val="Compact"/>
                    <w:jc w:val="right"/>
                    <w:jc w:val="center"/>
                  </w:pPr>
                  <w:r>
                    <w:t xml:space="preserve">11.10</w:t>
                  </w:r>
                </w:p>
              </w:tc>
              <w:tc>
                <w:tcPr/>
                <w:p>
                  <w:pPr>
                    <w:pStyle w:val="Compact"/>
                    <w:jc w:val="right"/>
                    <w:jc w:val="center"/>
                  </w:pPr>
                  <w:r>
                    <w:t xml:space="preserve">24,481</w:t>
                  </w:r>
                </w:p>
              </w:tc>
              <w:tc>
                <w:tcPr/>
                <w:p>
                  <w:pPr>
                    <w:pStyle w:val="Compact"/>
                    <w:jc w:val="right"/>
                    <w:jc w:val="center"/>
                  </w:pPr>
                  <w:r>
                    <w:t xml:space="preserve">58%</w:t>
                  </w:r>
                </w:p>
              </w:tc>
              <w:tc>
                <w:tcPr/>
                <w:p>
                  <w:pPr>
                    <w:pStyle w:val="Compact"/>
                    <w:jc w:val="right"/>
                    <w:jc w:val="center"/>
                  </w:pPr>
                  <w:r>
                    <w:t xml:space="preserve">42%</w:t>
                  </w:r>
                </w:p>
              </w:tc>
            </w:tr>
            <w:tr>
              <w:tc>
                <w:tcPr/>
                <w:p>
                  <w:pPr>
                    <w:pStyle w:val="Compact"/>
                    <w:jc w:val="center"/>
                    <w:jc w:val="center"/>
                  </w:pPr>
                  <w:r>
                    <w:t xml:space="preserve">2017</w:t>
                  </w:r>
                </w:p>
              </w:tc>
              <w:tc>
                <w:tcPr/>
                <w:p>
                  <w:pPr>
                    <w:pStyle w:val="Compact"/>
                    <w:jc w:val="right"/>
                    <w:jc w:val="center"/>
                  </w:pPr>
                  <w:r>
                    <w:t xml:space="preserve">10.67</w:t>
                  </w:r>
                </w:p>
              </w:tc>
              <w:tc>
                <w:tcPr/>
                <w:p>
                  <w:pPr>
                    <w:pStyle w:val="Compact"/>
                    <w:jc w:val="right"/>
                    <w:jc w:val="center"/>
                  </w:pPr>
                  <w:r>
                    <w:t xml:space="preserve">23,533</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2018</w:t>
                  </w:r>
                </w:p>
              </w:tc>
              <w:tc>
                <w:tcPr/>
                <w:p>
                  <w:pPr>
                    <w:pStyle w:val="Compact"/>
                    <w:jc w:val="right"/>
                    <w:jc w:val="center"/>
                  </w:pPr>
                  <w:r>
                    <w:t xml:space="preserve">3.29</w:t>
                  </w:r>
                </w:p>
              </w:tc>
              <w:tc>
                <w:tcPr/>
                <w:p>
                  <w:pPr>
                    <w:pStyle w:val="Compact"/>
                    <w:jc w:val="right"/>
                    <w:jc w:val="center"/>
                  </w:pPr>
                  <w:r>
                    <w:t xml:space="preserve">7,262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2019</w:t>
                  </w:r>
                </w:p>
              </w:tc>
              <w:tc>
                <w:tcPr/>
                <w:p>
                  <w:pPr>
                    <w:pStyle w:val="Compact"/>
                    <w:jc w:val="right"/>
                    <w:jc w:val="center"/>
                  </w:pPr>
                  <w:r>
                    <w:t xml:space="preserve">3.42</w:t>
                  </w:r>
                </w:p>
              </w:tc>
              <w:tc>
                <w:tcPr/>
                <w:p>
                  <w:pPr>
                    <w:pStyle w:val="Compact"/>
                    <w:jc w:val="right"/>
                    <w:jc w:val="center"/>
                  </w:pPr>
                  <w:r>
                    <w:t xml:space="preserve">7,540</w:t>
                  </w:r>
                </w:p>
              </w:tc>
              <w:tc>
                <w:tcPr/>
                <w:p>
                  <w:pPr>
                    <w:pStyle w:val="Compact"/>
                    <w:jc w:val="right"/>
                    <w:jc w:val="center"/>
                  </w:pPr>
                  <w:r>
                    <w:t xml:space="preserve">80%</w:t>
                  </w:r>
                </w:p>
              </w:tc>
              <w:tc>
                <w:tcPr/>
                <w:p>
                  <w:pPr>
                    <w:pStyle w:val="Compact"/>
                    <w:jc w:val="right"/>
                    <w:jc w:val="center"/>
                  </w:pPr>
                  <w:r>
                    <w:t xml:space="preserve">20%</w:t>
                  </w:r>
                </w:p>
              </w:tc>
            </w:tr>
            <w:tr>
              <w:tc>
                <w:tcPr/>
                <w:p>
                  <w:pPr>
                    <w:pStyle w:val="Compact"/>
                    <w:jc w:val="center"/>
                    <w:jc w:val="center"/>
                  </w:pPr>
                  <w:r>
                    <w:t xml:space="preserve">2020</w:t>
                  </w:r>
                </w:p>
              </w:tc>
              <w:tc>
                <w:tcPr/>
                <w:p>
                  <w:pPr>
                    <w:pStyle w:val="Compact"/>
                    <w:jc w:val="right"/>
                    <w:jc w:val="center"/>
                  </w:pPr>
                  <w:r>
                    <w:t xml:space="preserve">9.93</w:t>
                  </w:r>
                </w:p>
              </w:tc>
              <w:tc>
                <w:tcPr/>
                <w:p>
                  <w:pPr>
                    <w:pStyle w:val="Compact"/>
                    <w:jc w:val="right"/>
                    <w:jc w:val="center"/>
                  </w:pPr>
                  <w:r>
                    <w:t xml:space="preserve">21,883</w:t>
                  </w:r>
                </w:p>
              </w:tc>
              <w:tc>
                <w:tcPr/>
                <w:p>
                  <w:pPr>
                    <w:pStyle w:val="Compact"/>
                    <w:jc w:val="right"/>
                    <w:jc w:val="center"/>
                  </w:pPr>
                  <w:r>
                    <w:t xml:space="preserve">71%</w:t>
                  </w:r>
                </w:p>
              </w:tc>
              <w:tc>
                <w:tcPr/>
                <w:p>
                  <w:pPr>
                    <w:pStyle w:val="Compact"/>
                    <w:jc w:val="right"/>
                    <w:jc w:val="center"/>
                  </w:pPr>
                  <w:r>
                    <w:t xml:space="preserve">29%</w:t>
                  </w:r>
                </w:p>
              </w:tc>
            </w:tr>
            <w:tr>
              <w:tc>
                <w:tcPr/>
                <w:p>
                  <w:pPr>
                    <w:pStyle w:val="Compact"/>
                    <w:jc w:val="center"/>
                    <w:jc w:val="center"/>
                  </w:pPr>
                  <w:r>
                    <w:t xml:space="preserve">2021</w:t>
                  </w:r>
                </w:p>
              </w:tc>
              <w:tc>
                <w:tcPr/>
                <w:p>
                  <w:pPr>
                    <w:pStyle w:val="Compact"/>
                    <w:jc w:val="right"/>
                    <w:jc w:val="center"/>
                  </w:pPr>
                  <w:r>
                    <w:t xml:space="preserve">11.07</w:t>
                  </w:r>
                </w:p>
              </w:tc>
              <w:tc>
                <w:tcPr/>
                <w:p>
                  <w:pPr>
                    <w:pStyle w:val="Compact"/>
                    <w:jc w:val="right"/>
                    <w:jc w:val="center"/>
                  </w:pPr>
                  <w:r>
                    <w:t xml:space="preserve">24,412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2022</w:t>
                  </w:r>
                </w:p>
              </w:tc>
              <w:tc>
                <w:tcPr/>
                <w:p>
                  <w:pPr>
                    <w:pStyle w:val="Compact"/>
                    <w:jc w:val="right"/>
                    <w:jc w:val="center"/>
                  </w:pPr>
                  <w:r>
                    <w:t xml:space="preserve">7.44</w:t>
                  </w:r>
                </w:p>
              </w:tc>
              <w:tc>
                <w:tcPr/>
                <w:p>
                  <w:pPr>
                    <w:pStyle w:val="Compact"/>
                    <w:jc w:val="right"/>
                    <w:jc w:val="center"/>
                  </w:pPr>
                  <w:r>
                    <w:t xml:space="preserve">16,398</w:t>
                  </w:r>
                </w:p>
              </w:tc>
              <w:tc>
                <w:tcPr/>
                <w:p>
                  <w:pPr>
                    <w:pStyle w:val="Compact"/>
                    <w:jc w:val="right"/>
                    <w:jc w:val="center"/>
                  </w:pPr>
                  <w:r>
                    <w:t xml:space="preserve">74%</w:t>
                  </w:r>
                </w:p>
              </w:tc>
              <w:tc>
                <w:tcPr/>
                <w:p>
                  <w:pPr>
                    <w:pStyle w:val="Compact"/>
                    <w:jc w:val="right"/>
                    <w:jc w:val="center"/>
                  </w:pPr>
                  <w:r>
                    <w:t xml:space="preserve">26%</w:t>
                  </w:r>
                </w:p>
              </w:tc>
            </w:tr>
            <w:tr>
              <w:tc>
                <w:tcPr/>
                <w:p>
                  <w:pPr>
                    <w:pStyle w:val="Compact"/>
                    <w:jc w:val="center"/>
                    <w:jc w:val="center"/>
                  </w:pPr>
                  <w:r>
                    <w:t xml:space="preserve">Total</w:t>
                  </w:r>
                </w:p>
              </w:tc>
              <w:tc>
                <w:tcPr/>
                <w:p>
                  <w:pPr>
                    <w:pStyle w:val="Compact"/>
                    <w:jc w:val="right"/>
                    <w:jc w:val="center"/>
                  </w:pPr>
                  <w:r>
                    <w:t xml:space="preserve">112.37</w:t>
                  </w:r>
                </w:p>
              </w:tc>
              <w:tc>
                <w:tcPr/>
                <w:p>
                  <w:pPr>
                    <w:pStyle w:val="Compact"/>
                    <w:jc w:val="right"/>
                    <w:jc w:val="center"/>
                  </w:pPr>
                  <w:r>
                    <w:t xml:space="preserve">247,733</w:t>
                  </w:r>
                </w:p>
              </w:tc>
              <w:tc>
                <w:tcPr/>
                <w:p>
                  <w:pPr>
                    <w:pStyle w:val="Compact"/>
                    <w:jc w:val="right"/>
                    <w:jc w:val="center"/>
                  </w:pPr>
                  <w:r>
                    <w:t xml:space="preserve">82%</w:t>
                  </w:r>
                </w:p>
              </w:tc>
              <w:tc>
                <w:tcPr/>
                <w:p>
                  <w:pPr>
                    <w:pStyle w:val="Compact"/>
                    <w:jc w:val="right"/>
                    <w:jc w:val="center"/>
                  </w:pPr>
                  <w:r>
                    <w:t xml:space="preserve">18%</w:t>
                  </w:r>
                </w:p>
              </w:tc>
            </w:tr>
          </w:tbl>
          <w:bookmarkEnd w:id="33"/>
          <w:p/>
        </w:tc>
      </w:tr>
    </w:tbl>
    <w:p>
      <w:pPr>
        <w:pStyle w:val="BodyText"/>
      </w:pPr>
      <w:r>
        <w:rPr>
          <w:b/>
          <w:bCs/>
        </w:rPr>
        <w:t xml:space="preserve">The catch was input as biomass (in metric tons) and was treated as if it occurred over an entire fishing season, i.e., each fishing year.</w:t>
      </w:r>
    </w:p>
    <w:p>
      <w:pPr>
        <w:pStyle w:val="BodyText"/>
      </w:pP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p>
    <w:p>
      <w:pPr>
        <w:pStyle w:val="BodyText"/>
      </w:pPr>
      <w:r>
        <w:t xml:space="preserve">Commercial discards reported by calendar year by</w:t>
      </w:r>
      <w:r>
        <w:t xml:space="preserve"> </w:t>
      </w:r>
      <w:r>
        <w:t xml:space="preserve">Martínez Rivera et al. (2024)</w:t>
      </w:r>
      <w:r>
        <w:t xml:space="preserve"> </w:t>
      </w:r>
      <w:r>
        <w:t xml:space="preserve">were not significant and based on the nature of spearfishing with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4"/>
    <w:bookmarkStart w:id="35"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 NOAA Fisheries, Southeast Fisheries Science Center Trip Interview Program collects length and weight data from fish landed by commercial fishing vessels, along with information about fishing areas and gears. Data collection began in 1983 with frequent updates in best practices; the latest being in 2017. The Stoplight Parrotfish length data from St. Croix included 29,582 length observations across 1,028 unique port sampling interviews.</w:t>
      </w:r>
    </w:p>
    <w:p>
      <w:pPr>
        <w:pStyle w:val="BodyText"/>
      </w:pPr>
      <w:r>
        <w:t xml:space="preserve">Although the catch data can be separated into dive and non-dive related gears, 98% of the length measurements for St. Croix Stoplight parrotfish from 2012-2022 were associated with diving. These data were used to characterize the fleet’s size-based selectivity pattern. Since multiple fish length measurements can be obtained from a single sampled trip, each length does not represent an independent observation.</w:t>
      </w:r>
      <w:r>
        <w:t xml:space="preserve"> </w:t>
      </w:r>
      <w:r>
        <w:rPr>
          <w:b/>
          <w:bCs/>
        </w:rPr>
        <w:t xml:space="preserve">The relative model weighting of the dive fleet length compositions was based on the number of trips sampled</w:t>
      </w:r>
      <w:r>
        <w:t xml:space="preserve">.</w:t>
      </w:r>
    </w:p>
    <w:p>
      <w:pPr>
        <w:pStyle w:val="BodyText"/>
      </w:pPr>
      <w:r>
        <w:t xml:space="preserve">From 2012 - 2022, the size data included 1,033 shore-based length measurements from dive gears obtained across 66 trips. Five trips were flagged and removed as potential outliers with unusually large lengths.</w:t>
      </w:r>
      <w:r>
        <w:t xml:space="preserve"> </w:t>
      </w:r>
      <w:r>
        <w:rPr>
          <w:b/>
          <w:bCs/>
        </w:rPr>
        <w:t xml:space="preserve">Due to low sample sizes of both fish and trips, the fishery-dependent commercial dive fleet length composition data were collapsed across all years 2012-2022</w:t>
      </w:r>
      <w:r>
        <w:t xml:space="preserve">.</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5"/>
    <w:bookmarkEnd w:id="36"/>
    <w:bookmarkStart w:id="39" w:name="sec-data-survey"/>
    <w:p>
      <w:pPr>
        <w:pStyle w:val="Heading2"/>
      </w:pPr>
      <w:r>
        <w:t xml:space="preserve">2.2 Survey Data</w:t>
      </w:r>
    </w:p>
    <w:bookmarkStart w:id="37" w:name="sec-data-survey-index"/>
    <w:p>
      <w:pPr>
        <w:pStyle w:val="Heading3"/>
      </w:pPr>
      <w:r>
        <w:t xml:space="preserve">2.2.1 Index of Abundance</w:t>
      </w:r>
    </w:p>
    <w:p>
      <w:pPr>
        <w:pStyle w:val="FirstParagraph"/>
      </w:pPr>
      <w:r>
        <w:t xml:space="preserve">The National Coral Reef Monitoring Program supports reef fish sampling on hard-bottom habitats from 0 to 30 meters depth</w:t>
      </w:r>
      <w:r>
        <w:t xml:space="preserve"> </w:t>
      </w:r>
      <w:r>
        <w:t xml:space="preserve">(Grove et al., 2021)</w:t>
      </w:r>
      <w:r>
        <w:t xml:space="preserve">. In St. Croix, sampling began in 2001 and was conducted every year from 2001 to 2012 and then every other year starting in 2015. The data used in SEDAR 84 were from 2012 - 2022 when the survey was conducted island-wide. Before 2017, the data are calibrated to account for the transition from belt transect to the cylinder survey method.</w:t>
      </w:r>
    </w:p>
    <w:p>
      <w:pPr>
        <w:pStyle w:val="BodyText"/>
      </w:pPr>
      <w:r>
        <w:t xml:space="preserve">Annual mean density and associated standard errors for SEDAR 84 were provided by</w:t>
      </w:r>
      <w:r>
        <w:t xml:space="preserve"> </w:t>
      </w:r>
      <w:r>
        <w:t xml:space="preserve">Grove et al. (2024)</w:t>
      </w:r>
      <w:r>
        <w:t xml:space="preserve">. In stock syntheses, the time series of mean density across all observed sizes</w:t>
      </w:r>
      <w:r>
        <w:t xml:space="preserve"> </w:t>
      </w:r>
      <w:r>
        <w:rPr>
          <w:b/>
          <w:bCs/>
        </w:rPr>
        <w:t xml:space="preserve">were input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7"/>
    <w:bookmarkStart w:id="38"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before 2017 the length observations were collected in 5-centimeter bins.</w:t>
      </w:r>
      <w:r>
        <w:t xml:space="preserve"> </w:t>
      </w:r>
      <w:r>
        <w:rPr>
          <w:b/>
          <w:bCs/>
        </w:rPr>
        <w:t xml:space="preserve">The length data inputs for both the dive fleet and the three years of the survey with 1 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8"/>
    <w:bookmarkEnd w:id="39"/>
    <w:bookmarkStart w:id="46"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The largest fish was 43.3 centimeters fork length and the oldest was 20 years old.</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 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 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40"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1,649 samples of Stoplight Parrotfish collected across the U.S. Caribbean from 2013 to 2023</w:t>
      </w:r>
      <w:r>
        <w:rPr>
          <w:b/>
          <w:bCs/>
        </w:rPr>
        <w:t xml:space="preserve"> </w:t>
      </w:r>
      <w:r>
        <w:rPr>
          <w:b/>
          <w:bCs/>
        </w:rPr>
        <w:t xml:space="preserve">(Rivera Hernández &amp; Shervette, 2024)</w:t>
      </w:r>
      <w:r>
        <w:rPr>
          <w:b/>
          <w:bCs/>
        </w:rPr>
        <w:t xml:space="preserve">.</w:t>
      </w:r>
      <w:r>
        <w:t xml:space="preserve"> </w:t>
      </w:r>
      <w:r>
        <w:t xml:space="preserve">When t</w:t>
      </w:r>
      <w:r>
        <w:rPr>
          <w:vertAlign w:val="subscript"/>
        </w:rPr>
        <w:t xml:space="preserve">0</w:t>
      </w:r>
      <w:r>
        <w:t xml:space="preserve"> </w:t>
      </w:r>
      <w:r>
        <w:t xml:space="preserve">was fixed to -0.06, K was 0.39 and L∞ 33.2 centimeters fork length. When t</w:t>
      </w:r>
      <w:r>
        <w:rPr>
          <w:vertAlign w:val="subscript"/>
        </w:rPr>
        <w:t xml:space="preserve">0</w:t>
      </w:r>
      <w:r>
        <w:t xml:space="preserve"> </w:t>
      </w:r>
      <w:r>
        <w:t xml:space="preserve">was estimated, it was -0.52, K was 0.33, and L∞ was 33.8 centimeters fork length.</w:t>
      </w:r>
    </w:p>
    <w:p>
      <w:pPr>
        <w:pStyle w:val="BodyText"/>
      </w:pPr>
      <w:r>
        <w:t xml:space="preserve">The SEDAR 84 assessment models were configured using the parameter estimates associated with the fixed t</w:t>
      </w:r>
      <w:r>
        <w:rPr>
          <w:vertAlign w:val="subscript"/>
        </w:rPr>
        <w:t xml:space="preserve">0</w:t>
      </w:r>
      <w:r>
        <w:t xml:space="preserve"> </w:t>
      </w:r>
      <w:r>
        <w:t xml:space="preserve">were used. Furthermore,</w:t>
      </w:r>
      <w:r>
        <w:t xml:space="preserve"> </w:t>
      </w: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the substantial amounts of small (&lt;10cm) stoplight parrotfish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40"/>
    <w:bookmarkStart w:id="41"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w:t>
      </w:r>
      <w:r>
        <w:rPr>
          <w:b/>
          <w:bCs/>
          <w:vertAlign w:val="superscript"/>
        </w:rPr>
        <w:t xml:space="preserve">-5</w:t>
      </w:r>
      <w:r>
        <w:rPr>
          <w:b/>
          <w:bCs/>
        </w:rPr>
        <w:t xml:space="preserve"> </w:t>
      </w:r>
      <w:r>
        <w:rPr>
          <w:b/>
          <w:bCs/>
        </w:rPr>
        <w:t xml:space="preserve">* L</w:t>
      </w:r>
      <w:r>
        <w:rPr>
          <w:b/>
          <w:bCs/>
          <w:vertAlign w:val="superscript"/>
        </w:rPr>
        <w:t xml:space="preserve">2.9</w:t>
      </w:r>
      <w:r>
        <w:rPr>
          <w:b/>
          <w:bCs/>
        </w:rPr>
        <w:t xml:space="preserve">, with weight in kilograms and length in centimeters.</w:t>
      </w:r>
    </w:p>
    <w:bookmarkEnd w:id="41"/>
    <w:bookmarkStart w:id="43"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2.2</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(Hamel, 2015; Jensen, 1996, 1997; Rikhter &amp; Efanov, 1976; Then et al., 2015)</w:t>
      </w:r>
      <w:r>
        <w:t xml:space="preserve">. Notably, the SEDAR 84 available inputs of age at 50% maturity reflect only the sexual maturity of females, while Von Bertalanffy’s growth parameters (K), t0, and asymptotic size were fit across males, females, and transitional individuals combined.</w:t>
      </w:r>
    </w:p>
    <w:tbl>
      <w:tblPr>
        <w:tblStyle w:val="Table"/>
        <w:tblW w:type="pct" w:w="5000"/>
        <w:tblLayout w:type="fixed"/>
        <w:tblLook w:firstRow="0" w:lastRow="0" w:firstColumn="0" w:lastColumn="0" w:noHBand="0" w:noVBand="0" w:val="0000"/>
      </w:tblPr>
      <w:tblGrid>
        <w:gridCol w:w="7920"/>
      </w:tblGrid>
      <w:tr>
        <w:tc>
          <w:tcPr/>
          <w:bookmarkStart w:id="42" w:name="tbl-m"/>
          <w:p>
            <w:pPr>
              <w:jc w:val="center"/>
            </w:pPr>
            <w:pPr>
              <w:jc w:val="start"/>
              <w:spacing w:before="200"/>
              <w:pStyle w:val="ImageCaption"/>
            </w:pPr>
            <w:r>
              <w:t xml:space="preserve">Table 2.2: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2"/>
          <w:p/>
        </w:tc>
      </w:tr>
    </w:tbl>
    <w:p>
      <w:pPr>
        <w:pStyle w:val="BodyText"/>
      </w:pPr>
      <w:r>
        <w:rPr>
          <w:b/>
          <w:bCs/>
        </w:rPr>
        <w:t xml:space="preserve">A natural mortality value of 0.27 was used in the initial model runs</w:t>
      </w:r>
      <w:r>
        <w:t xml:space="preserve">. This value corresponds with the maximum age of 20 years reported by</w:t>
      </w:r>
      <w:r>
        <w:t xml:space="preserve"> </w:t>
      </w:r>
      <w:r>
        <w:t xml:space="preserve">Rivera Hernández &amp; Shervette (2024)</w:t>
      </w:r>
      <w:r>
        <w:t xml:space="preserve">. Model configurations incorporating alternative M values were explored through sensitivity analyses, which are discussed later in this report.</w:t>
      </w:r>
    </w:p>
    <w:bookmarkEnd w:id="43"/>
    <w:bookmarkStart w:id="44"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males at larger sizes, the largest and oldest stoplight parrotfish observed by</w:t>
      </w:r>
      <w:r>
        <w:t xml:space="preserve"> </w:t>
      </w:r>
      <w:r>
        <w:t xml:space="preserve">Rivera Hernández &amp; Shervette (2024)</w:t>
      </w:r>
      <w:r>
        <w:t xml:space="preserve"> </w:t>
      </w:r>
      <w:r>
        <w:t xml:space="preserve">were female.</w:t>
      </w:r>
    </w:p>
    <w:bookmarkEnd w:id="44"/>
    <w:bookmarkStart w:id="45"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and describes the amount of year-to-year variation in recruitment.</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5"/>
    <w:bookmarkEnd w:id="46"/>
    <w:bookmarkStart w:id="50"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7"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7"/>
    <w:bookmarkStart w:id="48"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 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 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8"/>
    <w:bookmarkStart w:id="49"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 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9"/>
    <w:bookmarkEnd w:id="50"/>
    <w:bookmarkEnd w:id="51"/>
    <w:bookmarkStart w:id="65"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3"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shorthand naming conventions used for SEDAR 84 assessments of parrot fish in St. Croix and Yellowtail Snapper,</w:t>
      </w:r>
      <w:r>
        <w:t xml:space="preserve"> </w:t>
      </w:r>
      <w:r>
        <w:rPr>
          <w:i/>
          <w:iCs/>
        </w:rPr>
        <w:t xml:space="preserve">Ocyurus chrysurus</w:t>
      </w:r>
      <w:r>
        <w:t xml:space="preserve">, in Puerto Rico as well as St. Thomas and St. John.</w:t>
      </w:r>
    </w:p>
    <w:p>
      <w:pPr>
        <w:pStyle w:val="BodyText"/>
      </w:pPr>
      <w:r>
        <w:t xml:space="preserve">The simplest configurations aggregated length compositions across years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 blocks. Not all of these considerations were explored for St. Croix Stoplight Parrotfish. However, the process sets up a reproducible and adaptable workflow across species and islands of model development with sequential model steps that take into account methodological and intentional stepwise model explorations combined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2"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449"/>
              <w:gridCol w:w="766"/>
              <w:gridCol w:w="3704"/>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 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2"/>
          <w:p/>
        </w:tc>
      </w:tr>
    </w:tbl>
    <w:bookmarkEnd w:id="53"/>
    <w:bookmarkStart w:id="55"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the low sample size. Dome-shaped selectivity (e) and selectivity-related time blocks (f) were also not considerations that factor into the dynamics and data reviewed for St. Corix stoplight parrotfish.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4"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990"/>
              <w:gridCol w:w="693"/>
              <w:gridCol w:w="6237"/>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4"/>
          <w:p/>
        </w:tc>
      </w:tr>
    </w:tbl>
    <w:bookmarkEnd w:id="55"/>
    <w:bookmarkStart w:id="64"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Their approach includes evaluating goodness of fit, information sources and structure, prediction skill, convergence, and model plausibility. Although</w:t>
      </w:r>
      <w:r>
        <w:t xml:space="preserve"> </w:t>
      </w:r>
      <w:r>
        <w:t xml:space="preserve">Carvalho et al. (2021)</w:t>
      </w:r>
      <w:r>
        <w:t xml:space="preserve"> </w:t>
      </w:r>
      <w:r>
        <w:t xml:space="preserve">advise detours and additional model explorations when initial diagnostic tests fail, advanced diagnostics, such as likelihood profiles, retrospective, and jitter analyses, were conducted even when initial tests failed to comprehensively communicate the various model configurations explored to the extent possible.</w:t>
      </w:r>
    </w:p>
    <w:bookmarkStart w:id="56"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6"/>
    <w:bookmarkStart w:id="57"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7"/>
    <w:bookmarkStart w:id="58" w:name="evaluating-variance"/>
    <w:p>
      <w:pPr>
        <w:pStyle w:val="Heading3"/>
      </w:pPr>
      <w:r>
        <w:t xml:space="preserve">3.3.3 Evaluating Variance</w:t>
      </w:r>
    </w:p>
    <w:p>
      <w:pPr>
        <w:pStyle w:val="FirstParagraph"/>
      </w:pPr>
      <w:r>
        <w:t xml:space="preserve">Parameters with high variance do not meaningfully influence the model’s fit to the data. To check for parameters with high variance, all parameter estimates are reported with their resulting standard deviations.</w:t>
      </w:r>
    </w:p>
    <w:bookmarkEnd w:id="58"/>
    <w:bookmarkStart w:id="59"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9"/>
    <w:bookmarkStart w:id="60"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of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60"/>
    <w:bookmarkStart w:id="61"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1"/>
    <w:bookmarkStart w:id="62"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2"/>
    <w:bookmarkStart w:id="63"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3"/>
    <w:bookmarkEnd w:id="64"/>
    <w:bookmarkEnd w:id="65"/>
    <w:bookmarkStart w:id="121" w:name="references"/>
    <w:p>
      <w:pPr>
        <w:pStyle w:val="Heading1"/>
      </w:pPr>
      <w:r>
        <w:t xml:space="preserve">References</w:t>
      </w:r>
    </w:p>
    <w:bookmarkStart w:id="120" w:name="refs"/>
    <w:bookmarkStart w:id="67"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6">
        <w:r>
          <w:rPr>
            <w:rStyle w:val="Hyperlink"/>
          </w:rPr>
          <w:t xml:space="preserve">https://doi.org/10.1111/2041-210x.13081</w:t>
        </w:r>
      </w:hyperlink>
    </w:p>
    <w:bookmarkEnd w:id="67"/>
    <w:bookmarkStart w:id="69"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8">
        <w:r>
          <w:rPr>
            <w:rStyle w:val="Hyperlink"/>
          </w:rPr>
          <w:t xml:space="preserve">https://doi.org/10.1016/j.fishres.2021.105959</w:t>
        </w:r>
      </w:hyperlink>
    </w:p>
    <w:bookmarkEnd w:id="69"/>
    <w:bookmarkStart w:id="71"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70">
        <w:r>
          <w:rPr>
            <w:rStyle w:val="Hyperlink"/>
          </w:rPr>
          <w:t xml:space="preserve">https://doi.org/10.3354/meps246265</w:t>
        </w:r>
      </w:hyperlink>
    </w:p>
    <w:bookmarkEnd w:id="71"/>
    <w:bookmarkStart w:id="73" w:name="ref-cope2024"/>
    <w:p>
      <w:pPr>
        <w:pStyle w:val="Bibliography"/>
      </w:pPr>
      <w:r>
        <w:t xml:space="preserve">Cope, J. (2024).</w:t>
      </w:r>
      <w:r>
        <w:t xml:space="preserve"> </w:t>
      </w:r>
      <w:r>
        <w:rPr>
          <w:i/>
          <w:iCs/>
        </w:rPr>
        <w:t xml:space="preserve">Stock assessment continuum tool</w:t>
      </w:r>
      <w:r>
        <w:t xml:space="preserve">.</w:t>
      </w:r>
      <w:r>
        <w:t xml:space="preserve"> </w:t>
      </w:r>
      <w:hyperlink r:id="rId72">
        <w:r>
          <w:rPr>
            <w:rStyle w:val="Hyperlink"/>
          </w:rPr>
          <w:t xml:space="preserve">https://github.com/shcaba/SS-DL-tool</w:t>
        </w:r>
      </w:hyperlink>
    </w:p>
    <w:bookmarkEnd w:id="73"/>
    <w:bookmarkStart w:id="75"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4">
        <w:r>
          <w:rPr>
            <w:rStyle w:val="Hyperlink"/>
          </w:rPr>
          <w:t xml:space="preserve">https://doi.org/10.1016/j.fishres.2022.106493</w:t>
        </w:r>
      </w:hyperlink>
    </w:p>
    <w:bookmarkEnd w:id="75"/>
    <w:bookmarkStart w:id="77"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6">
        <w:r>
          <w:rPr>
            <w:rStyle w:val="Hyperlink"/>
          </w:rPr>
          <w:t xml:space="preserve">https://repository.library.noaa.gov/view/noaa/45275</w:t>
        </w:r>
      </w:hyperlink>
    </w:p>
    <w:bookmarkEnd w:id="77"/>
    <w:bookmarkStart w:id="79"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8">
        <w:r>
          <w:rPr>
            <w:rStyle w:val="Hyperlink"/>
          </w:rPr>
          <w:t xml:space="preserve">https://sedarweb.org/documents/sedar-84-dw-11-sedar-84-trip-interview-program-tip-size-composition-analysis-of-stoplight-parrotfish-sparisoma-viride-in-st-croix-u-s-caribbean-1983-2022/</w:t>
        </w:r>
      </w:hyperlink>
    </w:p>
    <w:bookmarkEnd w:id="79"/>
    <w:bookmarkStart w:id="81"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80">
        <w:r>
          <w:rPr>
            <w:rStyle w:val="Hyperlink"/>
          </w:rPr>
          <w:t xml:space="preserve">https://sedarweb.org/documents/sedar-84-dw-14-fishery-independent-reef-fish-visual-survey-population-density-and-length-composition-for-stoplight-parrotfish-in-the-st-croix/</w:t>
        </w:r>
      </w:hyperlink>
    </w:p>
    <w:bookmarkEnd w:id="81"/>
    <w:bookmarkStart w:id="83" w:name="ref-grove2021"/>
    <w:p>
      <w:pPr>
        <w:pStyle w:val="Bibliography"/>
      </w:pPr>
      <w:r>
        <w:t xml:space="preserve">Grove, L. J. W., Blondeau, J., &amp; Ault, J. S. (2021).</w:t>
      </w:r>
      <w:r>
        <w:t xml:space="preserve"> </w:t>
      </w:r>
      <w:r>
        <w:rPr>
          <w:i/>
          <w:iCs/>
        </w:rPr>
        <w:t xml:space="preserve">National coral reef monitoring program</w:t>
      </w:r>
      <w:r>
        <w:rPr>
          <w:i/>
          <w:iCs/>
        </w:rPr>
        <w:t xml:space="preserve">’</w:t>
      </w:r>
      <w:r>
        <w:rPr>
          <w:i/>
          <w:iCs/>
        </w:rPr>
        <w:t xml:space="preserve">s reef fish visual census metadata for the u.s. caribbean.</w:t>
      </w:r>
      <w:r>
        <w:t xml:space="preserve"> </w:t>
      </w:r>
      <w:r>
        <w:t xml:space="preserve">(p. 55).</w:t>
      </w:r>
      <w:r>
        <w:t xml:space="preserve"> </w:t>
      </w:r>
      <w:hyperlink r:id="rId82">
        <w:r>
          <w:rPr>
            <w:rStyle w:val="Hyperlink"/>
          </w:rPr>
          <w:t xml:space="preserve">https://sedarweb.org/documents/sedar-80-wp-02-national-coral-reef-monitoring-programs-reef-fish-visual-census-metadata-for-the-u-s-caribbean/</w:t>
        </w:r>
      </w:hyperlink>
    </w:p>
    <w:bookmarkEnd w:id="83"/>
    <w:bookmarkStart w:id="85"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4">
        <w:r>
          <w:rPr>
            <w:rStyle w:val="Hyperlink"/>
          </w:rPr>
          <w:t xml:space="preserve">https://doi.org/10.1093/icesjms/fsu131</w:t>
        </w:r>
      </w:hyperlink>
    </w:p>
    <w:bookmarkEnd w:id="85"/>
    <w:bookmarkStart w:id="87"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6">
        <w:r>
          <w:rPr>
            <w:rStyle w:val="Hyperlink"/>
          </w:rPr>
          <w:t xml:space="preserve">https://doi.org/10.1016/j.fishres.2022.106477</w:t>
        </w:r>
      </w:hyperlink>
    </w:p>
    <w:bookmarkEnd w:id="87"/>
    <w:bookmarkStart w:id="89"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8">
        <w:r>
          <w:rPr>
            <w:rStyle w:val="Hyperlink"/>
          </w:rPr>
          <w:t xml:space="preserve">https://doi.org/10.1139/f95-233</w:t>
        </w:r>
      </w:hyperlink>
    </w:p>
    <w:bookmarkEnd w:id="89"/>
    <w:bookmarkStart w:id="91"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90">
        <w:r>
          <w:rPr>
            <w:rStyle w:val="Hyperlink"/>
          </w:rPr>
          <w:t xml:space="preserve">https://doi.org/10.1139/f97-007</w:t>
        </w:r>
      </w:hyperlink>
    </w:p>
    <w:bookmarkEnd w:id="91"/>
    <w:bookmarkStart w:id="93"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92">
        <w:r>
          <w:rPr>
            <w:rStyle w:val="Hyperlink"/>
          </w:rPr>
          <w:t xml:space="preserve">https://sedarweb.org/documents/sedar-84-dw-05-summary-of-management-actions-for-stoplight-parrotfish-sparisoma-viride-from-st-croix-1985-2021-as-documented-within-the-management-history-database/</w:t>
        </w:r>
      </w:hyperlink>
    </w:p>
    <w:bookmarkEnd w:id="93"/>
    <w:bookmarkStart w:id="95"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4">
        <w:r>
          <w:rPr>
            <w:rStyle w:val="Hyperlink"/>
          </w:rPr>
          <w:t xml:space="preserve">https://sedarweb.org/documents/sedar-84-dw-03-sedar-84-commercial-fishery-landings-of-stoplight-parrotfish-sparisoma-viride-in-st-croix-us-caribbean-2012-2022/</w:t>
        </w:r>
      </w:hyperlink>
    </w:p>
    <w:bookmarkEnd w:id="95"/>
    <w:bookmarkStart w:id="97"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6">
        <w:r>
          <w:rPr>
            <w:rStyle w:val="Hyperlink"/>
          </w:rPr>
          <w:t xml:space="preserve">https://doi.org/10.1016/j.fishres.2012.10.012</w:t>
        </w:r>
      </w:hyperlink>
    </w:p>
    <w:bookmarkEnd w:id="97"/>
    <w:bookmarkStart w:id="99" w:name="ref-methot2020"/>
    <w:p>
      <w:pPr>
        <w:pStyle w:val="Bibliography"/>
      </w:pPr>
      <w:r>
        <w:t xml:space="preserve">Methot, R. D., Wetzel, C. R., Taylor, I. G., &amp; Doering, K. (2020). Stock synthesis user manual: Version 3.30.15.</w:t>
      </w:r>
      <w:r>
        <w:t xml:space="preserve"> </w:t>
      </w:r>
      <w:r>
        <w:rPr>
          <w:i/>
          <w:iCs/>
        </w:rPr>
        <w:t xml:space="preserve">Northwest Fisheries Science Center (U.S.)</w:t>
      </w:r>
      <w:r>
        <w:t xml:space="preserve">.</w:t>
      </w:r>
      <w:r>
        <w:t xml:space="preserve"> </w:t>
      </w:r>
      <w:hyperlink r:id="rId98">
        <w:r>
          <w:rPr>
            <w:rStyle w:val="Hyperlink"/>
          </w:rPr>
          <w:t xml:space="preserve">https://doi.org/10.25923/5WPN-QT71</w:t>
        </w:r>
      </w:hyperlink>
    </w:p>
    <w:bookmarkEnd w:id="99"/>
    <w:bookmarkStart w:id="101" w:name="ref-rikhter1976"/>
    <w:p>
      <w:pPr>
        <w:pStyle w:val="Bibliography"/>
      </w:pPr>
      <w:r>
        <w:t xml:space="preserve">Rikhter, V. A., &amp; Efanov, V. N. (1976). 12.</w:t>
      </w:r>
      <w:r>
        <w:t xml:space="preserve"> </w:t>
      </w:r>
      <w:hyperlink r:id="rId100">
        <w:r>
          <w:rPr>
            <w:rStyle w:val="Hyperlink"/>
          </w:rPr>
          <w:t xml:space="preserve">https://www.nafo.int/icnaf/library/docs/1976/res-08.pdf</w:t>
        </w:r>
      </w:hyperlink>
    </w:p>
    <w:bookmarkEnd w:id="101"/>
    <w:bookmarkStart w:id="103"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102">
        <w:r>
          <w:rPr>
            <w:rStyle w:val="Hyperlink"/>
          </w:rPr>
          <w:t xml:space="preserve">https://sedarweb.org/documents/sedar-84-ap-01-report-on-the-status-of-u-s-caribbean-stoplight-parrotfish-sparisoma-viride-age-growth-and-reproductive-biology-for-the-sedar84-stock-assessment</w:t>
        </w:r>
      </w:hyperlink>
    </w:p>
    <w:bookmarkEnd w:id="103"/>
    <w:bookmarkStart w:id="105"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4">
        <w:r>
          <w:rPr>
            <w:rStyle w:val="Hyperlink"/>
          </w:rPr>
          <w:t xml:space="preserve">https://sedarweb.org/documents/sedar-46-final-stock-assessment-report-caribbean-data-limited-species/</w:t>
        </w:r>
      </w:hyperlink>
    </w:p>
    <w:bookmarkEnd w:id="105"/>
    <w:bookmarkStart w:id="107"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6">
        <w:r>
          <w:rPr>
            <w:rStyle w:val="Hyperlink"/>
          </w:rPr>
          <w:t xml:space="preserve">http://sedarweb.org/sedar-57</w:t>
        </w:r>
      </w:hyperlink>
    </w:p>
    <w:bookmarkEnd w:id="107"/>
    <w:bookmarkStart w:id="109" w:name="ref-sedar2022"/>
    <w:p>
      <w:pPr>
        <w:pStyle w:val="Bibliography"/>
      </w:pPr>
      <w:r>
        <w:t xml:space="preserve">SEDAR. (2022).</w:t>
      </w:r>
      <w:r>
        <w:t xml:space="preserve"> </w:t>
      </w:r>
      <w:r>
        <w:rPr>
          <w:i/>
          <w:iCs/>
        </w:rPr>
        <w:t xml:space="preserve">SEDAR 80 US caribbean queen triggerfish puerto rico final stock assessment report</w:t>
      </w:r>
      <w:r>
        <w:t xml:space="preserve">.</w:t>
      </w:r>
      <w:r>
        <w:t xml:space="preserve"> </w:t>
      </w:r>
      <w:hyperlink r:id="rId108">
        <w:r>
          <w:rPr>
            <w:rStyle w:val="Hyperlink"/>
          </w:rPr>
          <w:t xml:space="preserve">https://sedarweb.org/documents/sedar-80-us-caribbean-queen-triggerfish-puerto-rico-final-stock-assessment-report/</w:t>
        </w:r>
      </w:hyperlink>
    </w:p>
    <w:bookmarkEnd w:id="109"/>
    <w:bookmarkStart w:id="111"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10">
        <w:r>
          <w:rPr>
            <w:rStyle w:val="Hyperlink"/>
          </w:rPr>
          <w:t xml:space="preserve">https://sedarweb.org/documents/sedar-84-us-caribbean-stoplight-parrotfish-st-croix-data-workshop-report/</w:t>
        </w:r>
      </w:hyperlink>
    </w:p>
    <w:bookmarkEnd w:id="111"/>
    <w:bookmarkStart w:id="113"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12">
        <w:r>
          <w:rPr>
            <w:rStyle w:val="Hyperlink"/>
          </w:rPr>
          <w:t xml:space="preserve">https://doi.org/10.1016/j.fishres.2021.105924</w:t>
        </w:r>
      </w:hyperlink>
    </w:p>
    <w:bookmarkEnd w:id="113"/>
    <w:bookmarkStart w:id="115"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4">
        <w:r>
          <w:rPr>
            <w:rStyle w:val="Hyperlink"/>
          </w:rPr>
          <w:t xml:space="preserve">https://doi.org/10.1093/icesjms/fsu136</w:t>
        </w:r>
      </w:hyperlink>
    </w:p>
    <w:bookmarkEnd w:id="115"/>
    <w:bookmarkStart w:id="117"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6">
        <w:r>
          <w:rPr>
            <w:rStyle w:val="Hyperlink"/>
          </w:rPr>
          <w:t xml:space="preserve">https://doi.org/10.1111/faf.12427</w:t>
        </w:r>
      </w:hyperlink>
    </w:p>
    <w:bookmarkEnd w:id="117"/>
    <w:bookmarkStart w:id="119"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8">
        <w:r>
          <w:rPr>
            <w:rStyle w:val="Hyperlink"/>
          </w:rPr>
          <w:t xml:space="preserve">https://doi.org/10.1002/eap.1606</w:t>
        </w:r>
      </w:hyperlink>
    </w:p>
    <w:bookmarkEnd w:id="119"/>
    <w:bookmarkEnd w:id="120"/>
    <w:bookmarkEnd w:id="12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5" Target="media/rId25.jpg" /><Relationship Type="http://schemas.openxmlformats.org/officeDocument/2006/relationships/image" Id="rId21" Target="media/rId21.jpg" /><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2025-04-09T12:45:09Z</dcterms:created>
  <dcterms:modified xsi:type="dcterms:W3CDTF">2025-04-09T12:45:09Z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