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jpg" ContentType="image/jpeg"/>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9"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fig-uscar"/>
          <w:p>
            <w:pPr>
              <w:pStyle w:val="Compact"/>
              <w:jc w:val="center"/>
            </w:pPr>
            <w:r>
              <w:drawing>
                <wp:inline>
                  <wp:extent cx="4114800" cy="5323522"/>
                  <wp:effectExtent b="0" l="0" r="0" t="0"/>
                  <wp:docPr descr="" title="" id="22" name="Picture"/>
                  <a:graphic>
                    <a:graphicData uri="http://schemas.openxmlformats.org/drawingml/2006/picture">
                      <pic:pic>
                        <pic:nvPicPr>
                          <pic:cNvPr descr="https://www.fisheries.noaa.gov/s3//styles/original/s3/dam-migration/island_group_management_areas.jpg?itok=5wvkxme2" id="23" name="Picture"/>
                          <pic:cNvPicPr>
                            <a:picLocks noChangeArrowheads="1" noChangeAspect="1"/>
                          </pic:cNvPicPr>
                        </pic:nvPicPr>
                        <pic:blipFill>
                          <a:blip r:embed="rId21"/>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8" w:name="fig-eez"/>
          <w:p>
            <w:pPr>
              <w:pStyle w:val="Compact"/>
              <w:jc w:val="center"/>
            </w:pPr>
            <w:r>
              <w:drawing>
                <wp:inline>
                  <wp:extent cx="4572000" cy="3531870"/>
                  <wp:effectExtent b="0" l="0" r="0" t="0"/>
                  <wp:docPr descr="" title="" id="26" name="Picture"/>
                  <a:graphic>
                    <a:graphicData uri="http://schemas.openxmlformats.org/drawingml/2006/picture">
                      <pic:pic>
                        <pic:nvPicPr>
                          <pic:cNvPr descr="https://www.fisheries.noaa.gov/s3//styles/original/s3/dam-migration/carib_map_stx.jpg?itok=yeYHZ8gy" id="27" name="Picture"/>
                          <pic:cNvPicPr>
                            <a:picLocks noChangeArrowheads="1" noChangeAspect="1"/>
                          </pic:cNvPicPr>
                        </pic:nvPicPr>
                        <pic:blipFill>
                          <a:blip r:embed="rId25"/>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8"/>
        </w:tc>
      </w:tr>
    </w:tbl>
    <w:bookmarkEnd w:id="29"/>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groups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w:t>
      </w:r>
      <w:hyperlink w:anchor="tbl-catch">
        <w:r>
          <w:rPr>
            <w:rStyle w:val="Hyperlink"/>
          </w:rPr>
          <w:t xml:space="preserve">Table 2.1</w:t>
        </w:r>
      </w:hyperlink>
      <w:r>
        <w:t xml:space="preserve">). Potential outliers were discussed during the assessment webinars and retained as valid trips.</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 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areas and gears. Data collection began in 1983 with frequent updates in best practices; the latest being in 2017. The Stoplight Parrotfish length data from St. Croix included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Before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before 2017 the length observations were collected in 5-centimeter bins.</w:t>
      </w:r>
      <w:r>
        <w:t xml:space="preserve"> </w:t>
      </w:r>
      <w:r>
        <w:rPr>
          <w:b/>
          <w:bCs/>
        </w:rPr>
        <w:t xml:space="preserve">The length data inputs for both the dive fleet and the three years of the survey with 1 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 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 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was 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the substantial amounts of small (&lt;10cm) stoplight parrotfish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(Hamel, 2015; Jensen, 1996, 1997; Rikhter &amp; Efanov, 1976; Then et al., 2015)</w:t>
      </w:r>
      <w:r>
        <w:t xml:space="preserve">. Notably, the SEDAR 84 available inputs of age at 50% maturity reflect only the sexual maturity of females, while Von Bertalanffy’s growth parameters (K), t0, and asymptotic size were fit across males, females, and transitional individuals combined.</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males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p>
      <w:r>
        <w:br w:type="page"/>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 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 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 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shorthand naming conventions used for SEDAR 84 assessments of parrot fish in St. Croix and Yellowtail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 blocks. Not all of these considerations were explored for St. Croix Stoplight Parrotfish. However, the process sets up a reproducible and adaptable workflow across species and islands of model development with sequential model steps that take into account methodological and intentional stepwise model explorations combined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 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the low sample size. Dome-shaped selectivity (e) and selectivity-related time 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Their approach includes evaluating goodness of fit, information sources and structure, prediction skill, convergence, and model plausibility. Although</w:t>
      </w:r>
      <w:r>
        <w:t xml:space="preserve"> </w:t>
      </w:r>
      <w:r>
        <w:t xml:space="preserve">Carvalho et al. (2021)</w:t>
      </w:r>
      <w:r>
        <w:t xml:space="preserve"> </w:t>
      </w:r>
      <w:r>
        <w:t xml:space="preserve">advise detours and additional model explorations when initial diagnostic tests fail, advanced diagnostics, such as likelihood profiles, retrospective,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meaningfully influence the model’s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of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 US caribbean queen triggerfish 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2025-04-09T12:30:35Z</dcterms:created>
  <dcterms:modified xsi:type="dcterms:W3CDTF">2025-04-09T12:30:35Z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