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Table x 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r>
        <w:t xml:space="preserve"> </w:t>
      </w:r>
      <w:hyperlink w:anchor="tbl-overview">
        <w:r>
          <w:rPr>
            <w:rStyle w:val="Hyperlink"/>
          </w:rPr>
          <w:t xml:space="preserve">Table 3.1</w:t>
        </w:r>
      </w:hyperlink>
      <w:r>
        <w:t xml:space="preserve"> </w:t>
      </w:r>
      <w:r>
        <w:t xml:space="preserve">describes the model development process starting with the simplest data-limited configuration, followed by exploring data-moderate configurations, individually and combined.</w:t>
      </w:r>
    </w:p>
    <w:p>
      <w:pPr>
        <w:pStyle w:val="BodyText"/>
      </w:pPr>
      <w:r>
        <w:t xml:space="preserve">The simplest configurations utilized aggregated length compositions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the stoplight parrotfish population or fleet dynamics. The scenarios documented in this report are listed in table</w:t>
      </w:r>
      <w:r>
        <w:t xml:space="preserve"> </w:t>
      </w:r>
      <w:hyperlink w:anchor="tbl-ss3-stxslp">
        <w:r>
          <w:rPr>
            <w:rStyle w:val="Hyperlink"/>
          </w:rPr>
          <w:t xml:space="preserve">Table 3.2</w:t>
        </w:r>
      </w:hyperlink>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for SEDAR 84 St. Croix Stoplight Parrotfish model development.</w:t>
            </w:r>
          </w:p>
          <w:tbl>
            <w:tblPr>
              <w:tblStyle w:val="Table"/>
              <w:tblW w:type="pct" w:w="5000"/>
              <w:tblLayout w:type="fixed"/>
              <w:tblLook w:firstRow="1" w:lastRow="0" w:firstColumn="0" w:lastColumn="0" w:noHBand="0" w:noVBand="0" w:val="0020"/>
            </w:tblPr>
            <w:tblGrid>
              <w:gridCol w:w="1771"/>
              <w:gridCol w:w="1354"/>
              <w:gridCol w:w="4793"/>
            </w:tblGrid>
            <w:tr>
              <w:trPr>
                <w:tblHeader w:val="on"/>
              </w:trPr>
              <w:tc>
                <w:tcPr/>
                <w:p>
                  <w:pPr>
                    <w:pStyle w:val="Compact"/>
                    <w:jc w:val="center"/>
                  </w:pPr>
                  <w:r>
                    <w:t xml:space="preserve">Model Development</w:t>
                  </w:r>
                </w:p>
              </w:tc>
              <w:tc>
                <w:tcPr/>
                <w:p>
                  <w:pPr>
                    <w:pStyle w:val="Compact"/>
                    <w:jc w:val="center"/>
                  </w:pPr>
                  <w:r>
                    <w:t xml:space="preserve">Code</w:t>
                  </w:r>
                </w:p>
              </w:tc>
              <w:tc>
                <w:tcPr/>
                <w:p>
                  <w:pPr>
                    <w:pStyle w:val="Compact"/>
                    <w:jc w:val="center"/>
                  </w:pPr>
                  <w:r>
                    <w:t xml:space="preserve">Sequential modeling steps</w:t>
                  </w:r>
                </w:p>
              </w:tc>
            </w:tr>
            <w:tr>
              <w:tc>
                <w:tcPr/>
                <w:p>
                  <w:pPr>
                    <w:pStyle w:val="Compact"/>
                    <w:jc w:val="center"/>
                  </w:pPr>
                  <w:r>
                    <w:t xml:space="preserve">Scenario inputs</w:t>
                  </w:r>
                </w:p>
              </w:tc>
              <w:tc>
                <w:tcPr/>
                <w:p>
                  <w:pPr>
                    <w:pStyle w:val="Compact"/>
                    <w:jc w:val="center"/>
                  </w:pPr>
                  <w:r>
                    <w:t xml:space="preserve">5cm_010641</w:t>
                  </w:r>
                </w:p>
              </w:tc>
              <w:tc>
                <w:tcPr/>
                <w:p>
                  <w:pPr>
                    <w:pStyle w:val="Compact"/>
                    <w:jc w:val="center"/>
                  </w:pPr>
                  <w:r>
                    <w:t xml:space="preserve">01 - 41 centimeters, 5 cm bins; First bin is 10 cm</w:t>
                  </w:r>
                </w:p>
              </w:tc>
            </w:tr>
            <w:tr>
              <w:tc>
                <w:tcPr/>
                <w:p>
                  <w:pPr>
                    <w:pStyle w:val="Compact"/>
                    <w:jc w:val="center"/>
                  </w:pPr>
                  <w:r>
                    <w:t xml:space="preserve">Initial steps</w:t>
                  </w:r>
                </w:p>
              </w:tc>
              <w:tc>
                <w:tcPr/>
                <w:p>
                  <w:pPr>
                    <w:pStyle w:val="Compact"/>
                    <w:jc w:val="center"/>
                  </w:pPr>
                  <w:r>
                    <w:t xml:space="preserve">ct</w:t>
                  </w:r>
                </w:p>
              </w:tc>
              <w:tc>
                <w:tcPr/>
                <w:p>
                  <w:pPr>
                    <w:pStyle w:val="Compact"/>
                    <w:jc w:val="center"/>
                  </w:pPr>
                  <w:r>
                    <w:t xml:space="preserve">model initialized with continuum tool (ct) scenario inputs</w:t>
                  </w:r>
                </w:p>
              </w:tc>
            </w:tr>
            <w:tr>
              <w:tc>
                <w:tcPr/>
                <w:p>
                  <w:pPr>
                    <w:pStyle w:val="Compact"/>
                    <w:jc w:val="center"/>
                  </w:pPr>
                  <w:r>
                    <w:t xml:space="preserve">Initial steps</w:t>
                  </w:r>
                </w:p>
              </w:tc>
              <w:tc>
                <w:tcPr/>
                <w:p>
                  <w:pPr>
                    <w:pStyle w:val="Compact"/>
                    <w:jc w:val="center"/>
                  </w:pPr>
                  <w:r>
                    <w:t xml:space="preserve">m1</w:t>
                  </w:r>
                </w:p>
              </w:tc>
              <w:tc>
                <w:tcPr/>
                <w:p>
                  <w:pPr>
                    <w:pStyle w:val="Compact"/>
                    <w:jc w:val="center"/>
                  </w:pPr>
                  <w:r>
                    <w:t xml:space="preserve">ct modified for biology (adjust growth + hermaphroditism)</w:t>
                  </w:r>
                </w:p>
              </w:tc>
            </w:tr>
            <w:tr>
              <w:tc>
                <w:tcPr/>
                <w:p>
                  <w:pPr>
                    <w:pStyle w:val="Compact"/>
                    <w:jc w:val="center"/>
                  </w:pPr>
                  <w:r>
                    <w:t xml:space="preserve">Initial steps</w:t>
                  </w:r>
                </w:p>
              </w:tc>
              <w:tc>
                <w:tcPr/>
                <w:p>
                  <w:pPr>
                    <w:pStyle w:val="Compact"/>
                    <w:jc w:val="center"/>
                  </w:pPr>
                  <w:r>
                    <w:t xml:space="preserve">m2</w:t>
                  </w:r>
                </w:p>
              </w:tc>
              <w:tc>
                <w:tcPr/>
                <w:p>
                  <w:pPr>
                    <w:pStyle w:val="Compact"/>
                    <w:jc w:val="center"/>
                  </w:pPr>
                  <w:r>
                    <w:t xml:space="preserve">m1 modified for continuous recruitment (4 settlement events)</w:t>
                  </w:r>
                </w:p>
              </w:tc>
            </w:tr>
            <w:tr>
              <w:tc>
                <w:tcPr/>
                <w:p>
                  <w:pPr>
                    <w:pStyle w:val="Compact"/>
                    <w:jc w:val="center"/>
                  </w:pPr>
                  <w:r>
                    <w:t xml:space="preserve">Scenario</w:t>
                  </w:r>
                </w:p>
              </w:tc>
              <w:tc>
                <w:tcPr/>
                <w:p>
                  <w:pPr>
                    <w:pStyle w:val="Compact"/>
                    <w:jc w:val="center"/>
                  </w:pPr>
                  <w:r>
                    <w:t xml:space="preserve">a_m2</w:t>
                  </w:r>
                </w:p>
              </w:tc>
              <w:tc>
                <w:tcPr/>
                <w:p>
                  <w:pPr>
                    <w:pStyle w:val="Compact"/>
                    <w:jc w:val="center"/>
                  </w:pPr>
                  <w:r>
                    <w:t xml:space="preserve">index + hermaphroditism + continuous recruitment</w:t>
                  </w:r>
                </w:p>
              </w:tc>
            </w:tr>
            <w:tr>
              <w:tc>
                <w:tcPr/>
                <w:p>
                  <w:pPr>
                    <w:pStyle w:val="Compact"/>
                    <w:jc w:val="center"/>
                  </w:pPr>
                  <w:r>
                    <w:t xml:space="preserve">Scenario</w:t>
                  </w:r>
                </w:p>
              </w:tc>
              <w:tc>
                <w:tcPr/>
                <w:p>
                  <w:pPr>
                    <w:pStyle w:val="Compact"/>
                    <w:jc w:val="center"/>
                  </w:pPr>
                  <w:r>
                    <w:t xml:space="preserve">b_m2</w:t>
                  </w:r>
                </w:p>
              </w:tc>
              <w:tc>
                <w:tcPr/>
                <w:p>
                  <w:pPr>
                    <w:pStyle w:val="Compact"/>
                    <w:jc w:val="center"/>
                  </w:pPr>
                  <w:r>
                    <w:t xml:space="preserve">annual comp FI + hermaphroditism + continuous recruitment</w:t>
                  </w:r>
                </w:p>
              </w:tc>
            </w:tr>
            <w:tr>
              <w:tc>
                <w:tcPr/>
                <w:p>
                  <w:pPr>
                    <w:pStyle w:val="Compact"/>
                    <w:jc w:val="center"/>
                  </w:pPr>
                  <w:r>
                    <w:t xml:space="preserve">Scenario</w:t>
                  </w:r>
                </w:p>
              </w:tc>
              <w:tc>
                <w:tcPr/>
                <w:p>
                  <w:pPr>
                    <w:pStyle w:val="Compact"/>
                    <w:jc w:val="center"/>
                  </w:pPr>
                  <w:r>
                    <w:t xml:space="preserve">v1_m2</w:t>
                  </w:r>
                </w:p>
              </w:tc>
              <w:tc>
                <w:tcPr/>
                <w:p>
                  <w:pPr>
                    <w:pStyle w:val="Compact"/>
                    <w:jc w:val="center"/>
                  </w:pPr>
                  <w:r>
                    <w:t xml:space="preserve">index + annual comp FI + hermaphroditism + continuous recruitment</w:t>
                  </w:r>
                </w:p>
              </w:tc>
            </w:tr>
            <w:tr>
              <w:tc>
                <w:tcPr/>
                <w:p>
                  <w:pPr>
                    <w:pStyle w:val="Compact"/>
                    <w:jc w:val="center"/>
                  </w:pPr>
                  <w:r>
                    <w:t xml:space="preserve">Scenario</w:t>
                  </w:r>
                </w:p>
              </w:tc>
              <w:tc>
                <w:tcPr/>
                <w:p>
                  <w:pPr>
                    <w:pStyle w:val="Compact"/>
                    <w:jc w:val="center"/>
                  </w:pPr>
                  <w:r>
                    <w:t xml:space="preserve">v3_m2</w:t>
                  </w:r>
                </w:p>
              </w:tc>
              <w:tc>
                <w:tcPr/>
                <w:p>
                  <w:pPr>
                    <w:pStyle w:val="Compact"/>
                    <w:jc w:val="center"/>
                  </w:pPr>
                  <w:r>
                    <w:t xml:space="preserve">index + recruitment deviations + hermaphroditism + continuous recruitment</w:t>
                  </w:r>
                </w:p>
              </w:tc>
            </w:tr>
            <w:tr>
              <w:tc>
                <w:tcPr/>
                <w:p>
                  <w:pPr>
                    <w:pStyle w:val="Compact"/>
                    <w:jc w:val="center"/>
                  </w:pPr>
                  <w:r>
                    <w:t xml:space="preserve">Scenario</w:t>
                  </w:r>
                </w:p>
              </w:tc>
              <w:tc>
                <w:tcPr/>
                <w:p>
                  <w:pPr>
                    <w:pStyle w:val="Compact"/>
                    <w:jc w:val="center"/>
                  </w:pPr>
                  <w:r>
                    <w:t xml:space="preserve">v7_m2</w:t>
                  </w:r>
                </w:p>
              </w:tc>
              <w:tc>
                <w:tcPr/>
                <w:p>
                  <w:pPr>
                    <w:pStyle w:val="Compact"/>
                    <w:jc w:val="center"/>
                  </w:pPr>
                  <w:r>
                    <w:t xml:space="preserve">index + annual comp FI + recruitment deviations + hermaphroditism + continuous recruitment</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8" w:name="references"/>
    <w:p>
      <w:pPr>
        <w:pStyle w:val="Heading1"/>
      </w:pPr>
      <w:r>
        <w:t xml:space="preserve">References</w:t>
      </w:r>
    </w:p>
    <w:bookmarkStart w:id="117"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89">
        <w:r>
          <w:rPr>
            <w:rStyle w:val="Hyperlink"/>
          </w:rPr>
          <w:t xml:space="preserve">https://sedarweb.org/documents/sedar-84-dw-05-summary-of-management-actions-for-stoplight-parrotfish-sparisoma-viride-from-st-croix-1985-2021-as-documented-within-the-management-history-database/</w:t>
        </w:r>
      </w:hyperlink>
    </w:p>
    <w:bookmarkEnd w:id="90"/>
    <w:bookmarkStart w:id="92"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1">
        <w:r>
          <w:rPr>
            <w:rStyle w:val="Hyperlink"/>
          </w:rPr>
          <w:t xml:space="preserve">https://sedarweb.org/documents/sedar-84-dw-03-sedar-84-commercial-fishery-landings-of-stoplight-parrotfish-sparisoma-viride-in-st-croix-us-caribbean-2012-2022/</w:t>
        </w:r>
      </w:hyperlink>
    </w:p>
    <w:bookmarkEnd w:id="92"/>
    <w:bookmarkStart w:id="94"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3">
        <w:r>
          <w:rPr>
            <w:rStyle w:val="Hyperlink"/>
          </w:rPr>
          <w:t xml:space="preserve">https://doi.org/10.1016/j.fishres.2012.10.012</w:t>
        </w:r>
      </w:hyperlink>
    </w:p>
    <w:bookmarkEnd w:id="94"/>
    <w:bookmarkStart w:id="96"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5">
        <w:r>
          <w:rPr>
            <w:rStyle w:val="Hyperlink"/>
          </w:rPr>
          <w:t xml:space="preserve">https://doi.org/10.25923/5WPN-QT71</w:t>
        </w:r>
      </w:hyperlink>
    </w:p>
    <w:bookmarkEnd w:id="96"/>
    <w:bookmarkStart w:id="98" w:name="ref-rikhter1976"/>
    <w:p>
      <w:pPr>
        <w:pStyle w:val="Bibliography"/>
      </w:pPr>
      <w:r>
        <w:t xml:space="preserve">Rikhter, V. A., &amp; Efanov, V. N. (1976). 12.</w:t>
      </w:r>
      <w:r>
        <w:t xml:space="preserve"> </w:t>
      </w:r>
      <w:hyperlink r:id="rId97">
        <w:r>
          <w:rPr>
            <w:rStyle w:val="Hyperlink"/>
          </w:rPr>
          <w:t xml:space="preserve">https://www.nafo.int/icnaf/library/docs/1976/res-08.pdf</w:t>
        </w:r>
      </w:hyperlink>
    </w:p>
    <w:bookmarkEnd w:id="98"/>
    <w:bookmarkStart w:id="100"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9">
        <w:r>
          <w:rPr>
            <w:rStyle w:val="Hyperlink"/>
          </w:rPr>
          <w:t xml:space="preserve">https://sedarweb.org/documents/sedar-84-ap-01-report-on-the-status-of-u-s-caribbean-stoplight-parrotfish-sparisoma-viride-age-growth-and-reproductive-biology-for-the-sedar84-stock-assessment</w:t>
        </w:r>
      </w:hyperlink>
    </w:p>
    <w:bookmarkEnd w:id="100"/>
    <w:bookmarkStart w:id="102"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1">
        <w:r>
          <w:rPr>
            <w:rStyle w:val="Hyperlink"/>
          </w:rPr>
          <w:t xml:space="preserve">https://sedarweb.org/documents/sedar-46-final-stock-assessment-report-caribbean-data-limited-species/</w:t>
        </w:r>
      </w:hyperlink>
    </w:p>
    <w:bookmarkEnd w:id="102"/>
    <w:bookmarkStart w:id="104"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3">
        <w:r>
          <w:rPr>
            <w:rStyle w:val="Hyperlink"/>
          </w:rPr>
          <w:t xml:space="preserve">http://sedarweb.org/sedar-57</w:t>
        </w:r>
      </w:hyperlink>
    </w:p>
    <w:bookmarkEnd w:id="104"/>
    <w:bookmarkStart w:id="106"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5">
        <w:r>
          <w:rPr>
            <w:rStyle w:val="Hyperlink"/>
          </w:rPr>
          <w:t xml:space="preserve">https://sedarweb.org/documents/sedar-80-us-caribbean-queen-triggerfish-puerto-rico-final-stock-assessment-report/</w:t>
        </w:r>
      </w:hyperlink>
    </w:p>
    <w:bookmarkEnd w:id="106"/>
    <w:bookmarkStart w:id="108"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7">
        <w:r>
          <w:rPr>
            <w:rStyle w:val="Hyperlink"/>
          </w:rPr>
          <w:t xml:space="preserve">https://sedarweb.org/documents/sedar-84-us-caribbean-stoplight-parrotfish-st-croix-data-workshop-report/</w:t>
        </w:r>
      </w:hyperlink>
    </w:p>
    <w:bookmarkEnd w:id="108"/>
    <w:bookmarkStart w:id="110"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9">
        <w:r>
          <w:rPr>
            <w:rStyle w:val="Hyperlink"/>
          </w:rPr>
          <w:t xml:space="preserve">https://doi.org/10.1016/j.fishres.2021.105924</w:t>
        </w:r>
      </w:hyperlink>
    </w:p>
    <w:bookmarkEnd w:id="110"/>
    <w:bookmarkStart w:id="112"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1">
        <w:r>
          <w:rPr>
            <w:rStyle w:val="Hyperlink"/>
          </w:rPr>
          <w:t xml:space="preserve">https://doi.org/10.1093/icesjms/fsu136</w:t>
        </w:r>
      </w:hyperlink>
    </w:p>
    <w:bookmarkEnd w:id="112"/>
    <w:bookmarkStart w:id="114"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3">
        <w:r>
          <w:rPr>
            <w:rStyle w:val="Hyperlink"/>
          </w:rPr>
          <w:t xml:space="preserve">https://doi.org/10.1111/faf.12427</w:t>
        </w:r>
      </w:hyperlink>
    </w:p>
    <w:bookmarkEnd w:id="114"/>
    <w:bookmarkStart w:id="116"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5">
        <w:r>
          <w:rPr>
            <w:rStyle w:val="Hyperlink"/>
          </w:rPr>
          <w:t xml:space="preserve">https://doi.org/10.1002/eap.1606</w:t>
        </w:r>
      </w:hyperlink>
    </w:p>
    <w:bookmarkEnd w:id="116"/>
    <w:bookmarkEnd w:id="117"/>
    <w:bookmarkEnd w:id="118"/>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2025-04-02T17:48:09Z</dcterms:created>
  <dcterms:modified xsi:type="dcterms:W3CDTF">2025-04-02T17:48:09Z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