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7.png" ContentType="image/png"/>
  <Override PartName="/word/media/rId254.png" ContentType="image/png"/>
  <Override PartName="/word/media/rId238.png" ContentType="image/png"/>
  <Override PartName="/word/media/rId286.png" ContentType="image/png"/>
  <Override PartName="/word/media/rId270.png" ContentType="image/png"/>
  <Override PartName="/word/media/rId222.png" ContentType="image/png"/>
  <Override PartName="/word/media/rId206.png" ContentType="image/png"/>
  <Override PartName="/word/media/rId190.png" ContentType="image/png"/>
  <Override PartName="/word/media/rId146.png" ContentType="image/png"/>
  <Override PartName="/word/media/rId133.png" ContentType="image/png"/>
  <Override PartName="/word/media/rId120.png" ContentType="image/png"/>
  <Override PartName="/word/media/rId257.png" ContentType="image/png"/>
  <Override PartName="/word/media/rId241.png" ContentType="image/png"/>
  <Override PartName="/word/media/rId289.png" ContentType="image/png"/>
  <Override PartName="/word/media/rId273.png" ContentType="image/png"/>
  <Override PartName="/word/media/rId225.png" ContentType="image/png"/>
  <Override PartName="/word/media/rId209.png" ContentType="image/png"/>
  <Override PartName="/word/media/rId193.png" ContentType="image/png"/>
  <Override PartName="/word/media/rId153.png" ContentType="image/png"/>
  <Override PartName="/word/media/rId180.png" ContentType="image/png"/>
  <Override PartName="/word/media/rId157.png" ContentType="image/png"/>
  <Override PartName="/word/media/rId123.png" ContentType="image/png"/>
  <Override PartName="/word/media/rId260.png" ContentType="image/png"/>
  <Override PartName="/word/media/rId244.png" ContentType="image/png"/>
  <Override PartName="/word/media/rId292.png" ContentType="image/png"/>
  <Override PartName="/word/media/rId276.png" ContentType="image/png"/>
  <Override PartName="/word/media/rId228.png" ContentType="image/png"/>
  <Override PartName="/word/media/rId212.png" ContentType="image/png"/>
  <Override PartName="/word/media/rId196.png" ContentType="image/png"/>
  <Override PartName="/word/media/rId162.png" ContentType="image/png"/>
  <Override PartName="/word/media/rId183.png" ContentType="image/png"/>
  <Override PartName="/word/media/rId166.png" ContentType="image/png"/>
  <Override PartName="/word/media/rId136.png" ContentType="image/png"/>
  <Override PartName="/word/media/rId126.png" ContentType="image/png"/>
  <Override PartName="/word/media/rId263.png" ContentType="image/png"/>
  <Override PartName="/word/media/rId247.png" ContentType="image/png"/>
  <Override PartName="/word/media/rId295.png" ContentType="image/png"/>
  <Override PartName="/word/media/rId279.png" ContentType="image/png"/>
  <Override PartName="/word/media/rId231.png" ContentType="image/png"/>
  <Override PartName="/word/media/rId215.png" ContentType="image/png"/>
  <Override PartName="/word/media/rId199.png" ContentType="image/png"/>
  <Override PartName="/word/media/rId149.png" ContentType="image/png"/>
  <Override PartName="/word/media/rId139.png" ContentType="image/png"/>
  <Override PartName="/word/media/rId129.png" ContentType="image/png"/>
  <Override PartName="/word/media/rId266.png" ContentType="image/png"/>
  <Override PartName="/word/media/rId250.png" ContentType="image/png"/>
  <Override PartName="/word/media/rId298.png" ContentType="image/png"/>
  <Override PartName="/word/media/rId282.png" ContentType="image/png"/>
  <Override PartName="/word/media/rId234.png" ContentType="image/png"/>
  <Override PartName="/word/media/rId218.png" ContentType="image/png"/>
  <Override PartName="/word/media/rId202.png" ContentType="image/png"/>
  <Override PartName="/word/media/rId171.png" ContentType="image/png"/>
  <Override PartName="/word/media/rId186.png" ContentType="image/png"/>
  <Override PartName="/word/media/rId175.png" ContentType="image/png"/>
  <Override PartName="/word/media/rId142.png" ContentType="image/png"/>
  <Override PartName="/word/media/rId91.png" ContentType="image/png"/>
  <Override PartName="/word/media/rId95.png" ContentType="image/png"/>
  <Override PartName="/word/media/rId108.png" ContentType="image/png"/>
  <Override PartName="/word/media/rId87.png" ContentType="image/png"/>
  <Override PartName="/word/media/rId112.png" ContentType="image/png"/>
  <Override PartName="/word/media/rId104.png" ContentType="image/png"/>
  <Override PartName="/word/media/rId100.png" ContentType="image/png"/>
  <Override PartName="/word/media/rId302.png" ContentType="image/png"/>
  <Override PartName="/word/media/rId306.png" ContentType="image/png"/>
  <Override PartName="/word/media/rId319.png" ContentType="image/png"/>
  <Override PartName="/word/media/rId323.png" ContentType="image/png"/>
  <Override PartName="/word/media/rId315.png" ContentType="image/png"/>
  <Override PartName="/word/media/rId311.png" ContentType="image/png"/>
  <Override PartName="/word/media/rId328.png" ContentType="image/png"/>
  <Override PartName="/word/media/rId332.png" ContentType="image/png"/>
  <Override PartName="/word/media/rId345.png" ContentType="image/png"/>
  <Override PartName="/word/media/rId349.png" ContentType="image/png"/>
  <Override PartName="/word/media/rId341.png" ContentType="image/png"/>
  <Override PartName="/word/media/rId337.png" ContentType="image/png"/>
  <Override PartName="/word/media/rId83.jpg" ContentType="image/jpeg"/>
  <Override PartName="/word/media/rId7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commercial logbooks</w:t>
      </w:r>
    </w:p>
    <w:p>
      <w:pPr>
        <w:pStyle w:val="Compact"/>
        <w:numPr>
          <w:ilvl w:val="0"/>
          <w:numId w:val="1001"/>
        </w:numPr>
      </w:pPr>
      <w:r>
        <w:t xml:space="preserve">Fishery-dependent length compositions from commercial port sampling</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parameterization of hermaphroditism, and uncertainty on initial model equilibrium catch.</w:t>
      </w:r>
    </w:p>
    <w:p>
      <w:pPr>
        <w:pStyle w:val="BodyText"/>
      </w:pPr>
      <w:r>
        <w:t xml:space="preserve">Model diagnostics assessed convergence, fit, and consistency using gradients, residuals, likelihood profiles, hindcast cross-validation, and jitter analyses. These diagnostics revealed that, although data contrast was limited and recruitment estimates were highly uncertain, the available length and catch data—particularly from fishery-independent sources—provided provide information that the models can use to determine potential catch advice, particularly in a grid or model ensemble approach that accounts for key model assumptions and data-limited caveats.</w:t>
      </w:r>
    </w:p>
    <w:p>
      <w:pPr>
        <w:pStyle w:val="BodyText"/>
      </w:pPr>
      <w:r>
        <w:t xml:space="preserve">Sensitivity analyses evaluated the effects of assumptions about natural mortality, growth variability, hermaphroditism, and initial conditions. While these scenarios showed that key uncertainties can influence estimated productivity and biological reference points, nearly all models across the suite supported the conclusion that overfishing is not occurring and the stock is not overfished. A few sensitivity runs did indicate potential concern under specific combinations of assumptions, particularly with lower initial equilibrium catch and higher natural mortality.</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sec-background-manag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8.1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(Sparisoma chrysopterum).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8.2</w:t>
        </w:r>
      </w:hyperlink>
      <w:r>
        <w:t xml:space="preserve">).</w:t>
      </w:r>
    </w:p>
    <w:bookmarkEnd w:id="21"/>
    <w:bookmarkStart w:id="22" w:name="sec-background-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sec-background-framework"/>
    <w:p>
      <w:pPr>
        <w:pStyle w:val="Heading2"/>
      </w:pPr>
      <w:r>
        <w:t xml:space="preserve">1.3 Modeling Framework</w:t>
      </w:r>
    </w:p>
    <w:p>
      <w:pPr>
        <w:pStyle w:val="FirstParagraph"/>
      </w:pPr>
      <w:r>
        <w:rPr>
          <w:b/>
          <w:bCs/>
        </w:rPr>
        <w:t xml:space="preserve">Stock Synthesis V3.30.22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rPr>
          <w:b/>
          <w:bCs/>
        </w:rPr>
        <w:t xml:space="preserve">Landings</w:t>
      </w:r>
      <w:r>
        <w:t xml:space="preserve"> </w:t>
      </w:r>
      <w:r>
        <w:t xml:space="preserve">from self-reported commercial fisher logbooks</w:t>
      </w:r>
      <w:r>
        <w:t xml:space="preserve"> </w:t>
      </w:r>
      <w:r>
        <w:t xml:space="preserve">(Martínez Rivera et al., 2024)</w:t>
      </w:r>
    </w:p>
    <w:p>
      <w:pPr>
        <w:pStyle w:val="Compact"/>
        <w:numPr>
          <w:ilvl w:val="0"/>
          <w:numId w:val="1002"/>
        </w:numPr>
      </w:pPr>
      <w:r>
        <w:rPr>
          <w:b/>
          <w:bCs/>
        </w:rPr>
        <w:t xml:space="preserve">Length compositions</w:t>
      </w:r>
      <w:r>
        <w:t xml:space="preserve"> </w:t>
      </w:r>
      <w:r>
        <w:t xml:space="preserve">from shore-based port sampling</w:t>
      </w:r>
      <w:r>
        <w:t xml:space="preserve"> </w:t>
      </w:r>
      <w:r>
        <w:t xml:space="preserve">(Godwin et al., 2024)</w:t>
      </w:r>
    </w:p>
    <w:p>
      <w:pPr>
        <w:pStyle w:val="Compact"/>
        <w:numPr>
          <w:ilvl w:val="0"/>
          <w:numId w:val="1002"/>
        </w:numPr>
      </w:pPr>
      <w:r>
        <w:rPr>
          <w:b/>
          <w:bCs/>
        </w:rPr>
        <w:t xml:space="preserve">Length compositions</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Index of abundance</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Life history information</w:t>
      </w:r>
      <w:r>
        <w:t xml:space="preserve"> </w:t>
      </w:r>
      <w:r>
        <w:t xml:space="preserve">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fleet, and one fishery-independent survey.</w:t>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7.1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higher standard error of 2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commercial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data-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data-morphometric"/>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data-reproduction"/>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rPr>
          <w:b/>
          <w:bCs/>
        </w:rPr>
        <w:t xml:space="preserve">A second method for parameterizing hermaphroditism was explored as a sensitivity analysis.</w:t>
      </w:r>
      <w:r>
        <w:t xml:space="preserve"> </w:t>
      </w:r>
      <w:r>
        <w:t xml:space="preserve">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data-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data-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7.2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sec-data-summary"/>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sec-data-summary-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sec-data-summary-survey"/>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sec-data-summary-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7.3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across the stoplight parrotfish and yellowtail snapper SEDAR 84 assessments included incorporating (a) indices, (b) annual fishery-independent size composition, (c) annual fishery-dependent size composition, (d) recruitment deviations, (e) dome-shaped selectivity, and (f) time blocks. Not all of these considerations were explored for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7.3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7.4</w:t>
        </w:r>
      </w:hyperlink>
      <w:r>
        <w:t xml:space="preserve">.</w:t>
      </w:r>
    </w:p>
    <w:p>
      <w:pPr>
        <w:pStyle w:val="BodyText"/>
      </w:pPr>
      <w:r>
        <w:t xml:space="preserve">The Stock Assessment Continuum Tool was used to develop the initial model setup by importing CSV input files and utilizing its user-friendly Shiny application interface (</w:t>
      </w:r>
      <w:r>
        <w:t xml:space="preserve">Cope (2024)</w:t>
      </w:r>
      <w:r>
        <w:t xml:space="preserve">). Starting from the Continuum Tool (ct) model, a series of sequential modifications were applied to represent three key biological and data-related complexities: hermaphroditism (m1), continuous recruitment (m2), and increased catch uncertainty (m3).</w:t>
      </w:r>
    </w:p>
    <w:p>
      <w:pPr>
        <w:pStyle w:val="BodyText"/>
      </w:pPr>
      <w:r>
        <w:t xml:space="preserve">This report focuses on the results and sensitivities associated with the m3 models, evaluated under the various data configurations described in the previous section. While a full discussion of sensitivity runs is provided later in the report, they are also summarized in</w:t>
      </w:r>
      <w:r>
        <w:t xml:space="preserve"> </w:t>
      </w:r>
      <w:hyperlink w:anchor="tbl-ss3-stxslp">
        <w:r>
          <w:rPr>
            <w:rStyle w:val="Hyperlink"/>
          </w:rPr>
          <w:t xml:space="preserve">Table 7.4</w:t>
        </w:r>
      </w:hyperlink>
      <w:r>
        <w:t xml:space="preserve"> </w:t>
      </w:r>
      <w:r>
        <w:t xml:space="preserve">to help familiarize the reader with the terminology used throughout. For instance, model</w:t>
      </w:r>
      <w:r>
        <w:t xml:space="preserve"> </w:t>
      </w:r>
      <w:r>
        <w:rPr>
          <w:b/>
          <w:bCs/>
        </w:rPr>
        <w:t xml:space="preserve">v1_m3_s4</w:t>
      </w:r>
      <w:r>
        <w:t xml:space="preserve"> </w:t>
      </w:r>
      <w:r>
        <w:t xml:space="preserve">refers to the first scenario variation (</w:t>
      </w:r>
      <w:r>
        <w:rPr>
          <w:b/>
          <w:bCs/>
        </w:rPr>
        <w:t xml:space="preserve">v1</w:t>
      </w:r>
      <w:r>
        <w:t xml:space="preserve">, which includes an index and annual fishery-independent size data), the third level modification (</w:t>
      </w:r>
      <w:r>
        <w:rPr>
          <w:b/>
          <w:bCs/>
        </w:rPr>
        <w:t xml:space="preserve">m3</w:t>
      </w:r>
      <w:r>
        <w:t xml:space="preserve">, reflecting hermaphroditism, continuous recruitment and higher catch uncertainty), and the fourth sensitivity scenario (</w:t>
      </w:r>
      <w:r>
        <w:rPr>
          <w:b/>
          <w:bCs/>
        </w:rPr>
        <w:t xml:space="preserve">s4</w:t>
      </w:r>
      <w:r>
        <w:t xml:space="preserve">, assuming one sex).</w:t>
      </w:r>
    </w:p>
    <w:bookmarkEnd w:id="42"/>
    <w:bookmarkEnd w:id="43"/>
    <w:bookmarkStart w:id="64"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Finally, the parameter gradients in all models were small and well below 0.001, which is commonly used in the R4SS R package to identify large gradients (</w:t>
      </w:r>
      <w:hyperlink w:anchor="tbl-parm">
        <w:r>
          <w:rPr>
            <w:rStyle w:val="Hyperlink"/>
          </w:rPr>
          <w:t xml:space="preserve">Table 7.8</w:t>
        </w:r>
      </w:hyperlink>
      <w:r>
        <w:t xml:space="preserve">).</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m2 model variation (</w:t>
      </w:r>
      <w:hyperlink w:anchor="tbl-corr">
        <w:r>
          <w:rPr>
            <w:rStyle w:val="Hyperlink"/>
          </w:rPr>
          <w:t xml:space="preserve">Table 7.5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m1 and m2 model variations,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7.7</w:t>
        </w:r>
      </w:hyperlink>
      <w:r>
        <w:t xml:space="preserve">). This adjustment reduced the overly strong correlation between Initial F and R0 by relaxing the constraint on initial fishing mortality. The effects of increasing the standard error beyond 0.3 are discussed further in the sensitivity analyses section.</w:t>
      </w:r>
    </w:p>
    <w:p>
      <w:pPr>
        <w:pStyle w:val="BodyText"/>
      </w:pPr>
      <w:r>
        <w:t xml:space="preserve">All m2 and m3 model variations showed moderately high correlations (&gt; 0.90) between the two parameters used to define the commercial fleet logistic selectivity: the size at peak selectivity and the width of the ascending limb. Correlations between these selectivity parameters are expected. While estimated values varied slightly among models, they produced similar size-based selectivity curves for the commercial fleet (</w:t>
      </w:r>
      <w:hyperlink w:anchor="fig-m3-selectivity">
        <w:r>
          <w:rPr>
            <w:rStyle w:val="Hyperlink"/>
          </w:rPr>
          <w:t xml:space="preserve">Figure 8.3</w:t>
        </w:r>
      </w:hyperlink>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7.8</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p>
    <w:p>
      <w:pPr>
        <w:pStyle w:val="BodyText"/>
      </w:pPr>
      <w:hyperlink w:anchor="fig-m3-density">
        <w:r>
          <w:rPr>
            <w:rStyle w:val="Hyperlink"/>
          </w:rPr>
          <w:t xml:space="preserve">Figure 8.4</w:t>
        </w:r>
      </w:hyperlink>
      <w:r>
        <w:t xml:space="preserve"> </w:t>
      </w:r>
      <w:r>
        <w:t xml:space="preserve">illustrates how the estimate and uncertainty for the unfished recruitment (R0) and virgin spawning stock biomass change throughout the sequential steps of model development. Generally increasing the complexity of the model across the model variations explored results in lower values for both of these parameters. The uncertainty across the response surface for key parameters are further examined later in the report using likelihood profiles.</w:t>
      </w:r>
    </w:p>
    <w:p>
      <w:pPr>
        <w:pStyle w:val="BodyText"/>
      </w:pPr>
      <w:r>
        <w:t xml:space="preserve">Stock Synthesis also provides estimates and standard deviations for derived quantities such as unfished spawning stock biomass, initial year spawning biomass, and the initial depletion as the initial biomass divided by the unfished biomass.</w:t>
      </w:r>
      <w:r>
        <w:t xml:space="preserve"> </w:t>
      </w:r>
      <w:hyperlink w:anchor="tbl-dq">
        <w:r>
          <w:rPr>
            <w:rStyle w:val="Hyperlink"/>
          </w:rPr>
          <w:t xml:space="preserve">Table 7.6</w:t>
        </w:r>
      </w:hyperlink>
      <w:r>
        <w:t xml:space="preserve"> </w:t>
      </w:r>
      <w:r>
        <w:t xml:space="preserve">shows this information and it is also plotted in Figures</w:t>
      </w:r>
      <w:r>
        <w:t xml:space="preserve"> </w:t>
      </w:r>
      <w:hyperlink w:anchor="fig-m3-ratio">
        <w:r>
          <w:rPr>
            <w:rStyle w:val="Hyperlink"/>
          </w:rPr>
          <w:t xml:space="preserve">8.5 (a)</w:t>
        </w:r>
      </w:hyperlink>
      <w:r>
        <w:t xml:space="preserve"> </w:t>
      </w:r>
      <w:r>
        <w:t xml:space="preserve">and</w:t>
      </w:r>
      <w:r>
        <w:t xml:space="preserve"> </w:t>
      </w:r>
      <w:hyperlink w:anchor="fig-m3-ssb">
        <w:r>
          <w:rPr>
            <w:rStyle w:val="Hyperlink"/>
          </w:rPr>
          <w:t xml:space="preserve">8.5 (b)</w:t>
        </w:r>
      </w:hyperlink>
      <w:r>
        <w:t xml:space="preserve">.</w:t>
      </w:r>
    </w:p>
    <w:p>
      <w:pPr>
        <w:pStyle w:val="BodyText"/>
      </w:pPr>
      <w:r>
        <w:t xml:space="preserve">Compared to the other m3 model variations, Model v3_m2 had extremely highest uncertainty for fishing mortality and the lowest initial depletion reflected as the spawning biomass ratio (SSB Initial/SSB Unfished) (</w:t>
      </w:r>
      <w:hyperlink w:anchor="tbl-dq">
        <w:r>
          <w:rPr>
            <w:rStyle w:val="Hyperlink"/>
          </w:rPr>
          <w:t xml:space="preserve">Table 7.6</w:t>
        </w:r>
      </w:hyperlink>
      <w:r>
        <w:t xml:space="preserve">;</w:t>
      </w:r>
      <w:r>
        <w:t xml:space="preserve"> </w:t>
      </w:r>
      <w:hyperlink w:anchor="fig-m3-f">
        <w:r>
          <w:rPr>
            <w:rStyle w:val="Hyperlink"/>
          </w:rPr>
          <w:t xml:space="preserve">Figure 8.5 (c)</w:t>
        </w:r>
      </w:hyperlink>
      <w:r>
        <w:t xml:space="preserve">). All of the m3 model variations resulted in relatively high uncertainty and limited contrast, with most years encompassing the 95% confidence intervals across the entire time series (</w:t>
      </w:r>
      <w:hyperlink w:anchor="fig-m3-dq">
        <w:r>
          <w:rPr>
            <w:rStyle w:val="Hyperlink"/>
          </w:rPr>
          <w:t xml:space="preserve">Figure 8.5</w:t>
        </w:r>
      </w:hyperlink>
      <w:r>
        <w:t xml:space="preserve">). The sensitivity runs described later build on the exploration of uncertainty in these model variations and help interpret conditions under which all of the model variations increasingly converge.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8.6</w:t>
        </w:r>
      </w:hyperlink>
      <w:r>
        <w:t xml:space="preserve">). Importantly, no jitter runs produced a lower likelihood than the best fit already identified for each model.</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bookmarkStart w:id="48" w:name="catch"/>
    <w:p>
      <w:pPr>
        <w:pStyle w:val="Heading3"/>
      </w:pPr>
      <w:r>
        <w:t xml:space="preserve">4.5.1 Catch</w:t>
      </w:r>
    </w:p>
    <w:p>
      <w:pPr>
        <w:pStyle w:val="FirstParagraph"/>
      </w:pPr>
      <w:r>
        <w:t xml:space="preserve">All models nearly exactly matched the observed 2012 - 2022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during the model development m3 variation was to give the model more flexibility in estimating initial equilibrium catch and corresponding initial fishing mortality. This adjustment allowed the model to explore alternative fits while still remaining informed by the assumption of a larger level of historically sustained catch. Increasing the standard error from 0.01 to 0.3 resulted in lower estimates of the initial equilibrium catch (</w:t>
      </w:r>
      <w:hyperlink w:anchor="tbl-eqcatch">
        <w:r>
          <w:rPr>
            <w:rStyle w:val="Hyperlink"/>
          </w:rPr>
          <w:t xml:space="preserve">Table 7.7</w:t>
        </w:r>
      </w:hyperlink>
      <w:r>
        <w:t xml:space="preserve">). This topic will be revisited in the sensitivity analyses, where model runs with even higher catch standard error of 2 are compared. Additional justifications for further allowing the estimated initial equilibrium catch to differ from the assumed initial equilibrium catch of 30 metric tons will also be noted with regard to the results of the likelihood profile for the equilibrium catch.</w:t>
      </w:r>
    </w:p>
    <w:bookmarkEnd w:id="48"/>
    <w:bookmarkStart w:id="49" w:name="indices"/>
    <w:p>
      <w:pPr>
        <w:pStyle w:val="Heading3"/>
      </w:pPr>
      <w:r>
        <w:t xml:space="preserve">4.5.2 Indices</w:t>
      </w:r>
    </w:p>
    <w:p>
      <w:pPr>
        <w:pStyle w:val="FirstParagraph"/>
      </w:pPr>
      <w:r>
        <w:t xml:space="preserve">For the models without recruitment deviation being estimated (model variations b_m2, and v1_m2), the predicted National Coral Reef Monitoring Program index is flat (</w:t>
      </w:r>
      <w:hyperlink w:anchor="fig-cpue">
        <w:r>
          <w:rPr>
            <w:rStyle w:val="Hyperlink"/>
          </w:rPr>
          <w:t xml:space="preserve">Figure 8.7</w:t>
        </w:r>
      </w:hyperlink>
      <w:r>
        <w:t xml:space="preserve">). In the model variations with estimated recruitment deviations (v3_m3 and v7_m3),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8.7</w:t>
        </w:r>
      </w:hyperlink>
      <w:r>
        <w:t xml:space="preserve">).</w:t>
      </w:r>
    </w:p>
    <w:bookmarkEnd w:id="49"/>
    <w:bookmarkStart w:id="50" w:name="length-compositions"/>
    <w:p>
      <w:pPr>
        <w:pStyle w:val="Heading3"/>
      </w:pPr>
      <w:r>
        <w:t xml:space="preserve">4.5.3 Length compositions</w:t>
      </w:r>
    </w:p>
    <w:p>
      <w:pPr>
        <w:pStyle w:val="FirstParagraph"/>
      </w:pPr>
      <w:hyperlink w:anchor="fig-lenfit">
        <w:r>
          <w:rPr>
            <w:rStyle w:val="Hyperlink"/>
          </w:rPr>
          <w:t xml:space="preserve">Figure 8.8</w:t>
        </w:r>
      </w:hyperlink>
      <w:r>
        <w:t xml:space="preserve"> </w:t>
      </w:r>
      <w:r>
        <w:t xml:space="preserve">shows the cumulative fit across all years between the observed and predicted length composition for the two model variations had aggregated size data (a_m3 and v3_m3). Figures</w:t>
      </w:r>
      <w:r>
        <w:t xml:space="preserve"> </w:t>
      </w:r>
      <w:hyperlink w:anchor="fig-lenfit-b">
        <w:r>
          <w:rPr>
            <w:rStyle w:val="Hyperlink"/>
          </w:rPr>
          <w:t xml:space="preserve">8.9</w:t>
        </w:r>
      </w:hyperlink>
      <w:r>
        <w:t xml:space="preserve">,</w:t>
      </w:r>
      <w:r>
        <w:t xml:space="preserve"> </w:t>
      </w:r>
      <w:hyperlink w:anchor="fig-lenfit-v1">
        <w:r>
          <w:rPr>
            <w:rStyle w:val="Hyperlink"/>
          </w:rPr>
          <w:t xml:space="preserve">8.10</w:t>
        </w:r>
      </w:hyperlink>
      <w:r>
        <w:t xml:space="preserve">, and</w:t>
      </w:r>
      <w:r>
        <w:t xml:space="preserve"> </w:t>
      </w:r>
      <w:hyperlink w:anchor="fig-lenfit-v7">
        <w:r>
          <w:rPr>
            <w:rStyle w:val="Hyperlink"/>
          </w:rPr>
          <w:t xml:space="preserve">8.11</w:t>
        </w:r>
      </w:hyperlink>
      <w:r>
        <w:t xml:space="preserve"> </w:t>
      </w:r>
      <w:r>
        <w:t xml:space="preserve">provide the cumulative and the year specific length compositions for the model variations that included annual fishery-independent size data (b_m3, v1_m3, and v7_m3).</w:t>
      </w:r>
    </w:p>
    <w:p>
      <w:pPr>
        <w:pStyle w:val="BodyText"/>
      </w:pPr>
      <w:r>
        <w:t xml:space="preserve">Among the models with the annual fishery-independent size data (b_m3, v1_m3, and v7_m3), the model with recruitment deviation being estimated (v7_m2), has improved fits to the annual National Coral Reef Monitoring Program length composition data (</w:t>
      </w:r>
      <w:hyperlink w:anchor="fig-lenfit-v7-2">
        <w:r>
          <w:rPr>
            <w:rStyle w:val="Hyperlink"/>
          </w:rPr>
          <w:t xml:space="preserve">Figure 8.11 (b)</w:t>
        </w:r>
      </w:hyperlink>
      <w:r>
        <w:t xml:space="preserve">). In the scenarios without recruitment deviations (b_m3 and v_m3), the predicted composition is identical across years, which leads to overestimating the proportion of the smallest size and underestimating intermediate or large sizes in 2012, 2017, and 2021 (Figures</w:t>
      </w:r>
      <w:r>
        <w:t xml:space="preserve"> </w:t>
      </w:r>
      <w:hyperlink w:anchor="fig-lenfit-b-2">
        <w:r>
          <w:rPr>
            <w:rStyle w:val="Hyperlink"/>
          </w:rPr>
          <w:t xml:space="preserve">8.9 (b)</w:t>
        </w:r>
      </w:hyperlink>
      <w:r>
        <w:t xml:space="preserve"> </w:t>
      </w:r>
      <w:r>
        <w:t xml:space="preserve">and</w:t>
      </w:r>
      <w:r>
        <w:t xml:space="preserve"> </w:t>
      </w:r>
      <w:hyperlink w:anchor="fig-lenfit-v1-2">
        <w:r>
          <w:rPr>
            <w:rStyle w:val="Hyperlink"/>
          </w:rPr>
          <w:t xml:space="preserve">8.10 (b)</w:t>
        </w:r>
      </w:hyperlink>
      <w:r>
        <w:t xml:space="preserve">). This is also evident in</w:t>
      </w:r>
      <w:r>
        <w:t xml:space="preserve"> </w:t>
      </w:r>
      <w:hyperlink w:anchor="fig-meanlen">
        <w:r>
          <w:rPr>
            <w:rStyle w:val="Hyperlink"/>
          </w:rPr>
          <w:t xml:space="preserve">Figure 8.12</w:t>
        </w:r>
      </w:hyperlink>
      <w:r>
        <w:t xml:space="preserve"> </w:t>
      </w:r>
      <w:r>
        <w:t xml:space="preserve">where the observed and predicted mean length by year are plotted.</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8.13</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8.7</w:t>
        </w:r>
      </w:hyperlink>
      <w:r>
        <w:t xml:space="preserve">). Although all retrospectives show wide 95% confidence intervals, the severity of the retrospective pattern was most severe in the scenario with recruitment deviations and annual fishery dependent size data, variation v7_m2.</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virgin recruitment (R0), initial equilibrium catch, and steepness.</w:t>
      </w:r>
    </w:p>
    <w:bookmarkStart w:id="53" w:name="unfished-recruitment-r0"/>
    <w:p>
      <w:pPr>
        <w:pStyle w:val="Heading3"/>
      </w:pPr>
      <w:r>
        <w:t xml:space="preserve">4.7.1 Unfished Recruitment (R0)</w:t>
      </w:r>
    </w:p>
    <w:p>
      <w:pPr>
        <w:pStyle w:val="FirstParagraph"/>
      </w:pPr>
      <w:hyperlink w:anchor="fig-profile-r0">
        <w:r>
          <w:rPr>
            <w:rStyle w:val="Hyperlink"/>
          </w:rPr>
          <w:t xml:space="preserve">Figure 8.14</w:t>
        </w:r>
      </w:hyperlink>
      <w:r>
        <w:t xml:space="preserve"> </w:t>
      </w:r>
      <w:r>
        <w:t xml:space="preserve">shows the profile likelihood for the natural log of the unfished recruitment parameter of the Beverton – Holt stock-recruit function for St. Croix stoplight parrotfish across model variations (a_m3, b_m3, v1_m3, v3_m3, and v7_m3). All models show conflicting signals and relatively poorly-defined minimums, with a range of equally plausible values reflected by only small changes in likelihood.</w:t>
      </w:r>
      <w:r>
        <w:t xml:space="preserve"> </w:t>
      </w:r>
      <w:hyperlink w:anchor="fig-profile-r0-msyspr">
        <w:r>
          <w:rPr>
            <w:rStyle w:val="Hyperlink"/>
          </w:rPr>
          <w:t xml:space="preserve">Figure 8.15</w:t>
        </w:r>
      </w:hyperlink>
      <w:r>
        <w:t xml:space="preserve"> </w:t>
      </w:r>
      <w:r>
        <w:t xml:space="preserve">shows the corresponding change in the MSY SPR 40% across the range of unfished recruitment values explored.</w:t>
      </w:r>
    </w:p>
    <w:bookmarkEnd w:id="53"/>
    <w:bookmarkStart w:id="54" w:name="sec-daignostics-eqcatch-profile"/>
    <w:p>
      <w:pPr>
        <w:pStyle w:val="Heading3"/>
      </w:pPr>
      <w:r>
        <w:t xml:space="preserve">4.7.2 Initial Equilibrium Catch</w:t>
      </w:r>
    </w:p>
    <w:p>
      <w:pPr>
        <w:pStyle w:val="FirstParagraph"/>
      </w:pPr>
      <w:hyperlink w:anchor="fig-profile-eqcatch">
        <w:r>
          <w:rPr>
            <w:rStyle w:val="Hyperlink"/>
          </w:rPr>
          <w:t xml:space="preserve">Figure 8.16</w:t>
        </w:r>
      </w:hyperlink>
      <w:r>
        <w:t xml:space="preserve"> </w:t>
      </w:r>
      <w:r>
        <w:t xml:space="preserve">shows the profile likelihood for the initial equilibrium catch for St. Croix stoplight parrotfish across model variations (a_m3, b_m3, v1_m3, v3_m3, and v7_m3). With the exception of model variation v3_m3, the models suggest improved fit associated with smaller values of fixed initial equilibrium catch. Meanwhile, v3_m3 shows a minimum around 24 metric tons, but is flat given the very small changes in the likelihoods across the range of values explored.</w:t>
      </w:r>
      <w:r>
        <w:t xml:space="preserve"> </w:t>
      </w:r>
      <w:hyperlink w:anchor="fig-profile-eqcatch-msyspr">
        <w:r>
          <w:rPr>
            <w:rStyle w:val="Hyperlink"/>
          </w:rPr>
          <w:t xml:space="preserve">Figure 8.17</w:t>
        </w:r>
      </w:hyperlink>
      <w:r>
        <w:t xml:space="preserve"> </w:t>
      </w:r>
      <w:r>
        <w:t xml:space="preserve">shows the corresponding change in the MSY SPR 40% across the range of initial equilibrium catch values explored. This suggest that given further flexibility the initial equilibrium may be estimated lower and will be revisited in regard to the sensitivity runs.</w:t>
      </w:r>
    </w:p>
    <w:bookmarkEnd w:id="54"/>
    <w:bookmarkStart w:id="55" w:name="steepness"/>
    <w:p>
      <w:pPr>
        <w:pStyle w:val="Heading3"/>
      </w:pPr>
      <w:r>
        <w:t xml:space="preserve">4.7.3 Steepness</w:t>
      </w:r>
    </w:p>
    <w:p>
      <w:pPr>
        <w:pStyle w:val="FirstParagraph"/>
      </w:pPr>
      <w:hyperlink w:anchor="fig-profile-k">
        <w:r>
          <w:rPr>
            <w:rStyle w:val="Hyperlink"/>
          </w:rPr>
          <w:t xml:space="preserve">Figure 8.18</w:t>
        </w:r>
      </w:hyperlink>
      <w:r>
        <w:t xml:space="preserve"> </w:t>
      </w:r>
      <w:r>
        <w:t xml:space="preserve">shows the profile likelihood for steepness parameter of the Beverton – Holt</w:t>
      </w:r>
      <w:r>
        <w:t xml:space="preserve"> </w:t>
      </w:r>
      <w:r>
        <w:t xml:space="preserve">stock-recruit function for St. Croix stoplight parrotfish across model variations (a_m3, b_m3, v1_m3, v3_m3, and v7_m3). With the exception of a_m3, all models show lower likelihoods associated with higher values of steepness, driven by the fit to the length data. @</w:t>
      </w:r>
      <w:hyperlink w:anchor="fig-profile-k-msyspr">
        <w:r>
          <w:rPr>
            <w:rStyle w:val="Hyperlink"/>
          </w:rPr>
          <w:t xml:space="preserve">Figure 8.19</w:t>
        </w:r>
      </w:hyperlink>
      <w:r>
        <w:t xml:space="preserve"> </w:t>
      </w:r>
      <w:r>
        <w:t xml:space="preserve">shows the corresponding change in the MSY SPR 40% across the range of steepness values explored.</w:t>
      </w:r>
    </w:p>
    <w:bookmarkEnd w:id="55"/>
    <w:bookmarkEnd w:id="56"/>
    <w:bookmarkStart w:id="63" w:name="sensitivity-runs"/>
    <w:p>
      <w:pPr>
        <w:pStyle w:val="Heading2"/>
      </w:pPr>
      <w:r>
        <w:t xml:space="preserve">4.8 Sensitivity Runs</w:t>
      </w:r>
    </w:p>
    <w:p>
      <w:pPr>
        <w:pStyle w:val="FirstParagraph"/>
      </w:pPr>
      <w:r>
        <w:t xml:space="preserve">Sensitivity analyses were conducted to evaluate the impact of key model assumptions on derived quantities. Details of the process and naming conventions are provided in</w:t>
      </w:r>
      <w:r>
        <w:t xml:space="preserve"> </w:t>
      </w:r>
      <w:hyperlink w:anchor="tbl-ss3-stxslp">
        <w:r>
          <w:rPr>
            <w:rStyle w:val="Hyperlink"/>
          </w:rPr>
          <w:t xml:space="preserve">Table 7.4</w:t>
        </w:r>
      </w:hyperlink>
      <w:r>
        <w:t xml:space="preserve">. The analyses explored alternative assumptions for the CV on growth, maximum age, the modeling approach for hermaphroditism, and the standard error applied to catch data.</w:t>
      </w:r>
    </w:p>
    <w:p>
      <w:pPr>
        <w:pStyle w:val="BodyText"/>
      </w:pPr>
      <w:r>
        <w:t xml:space="preserve">For each model variation and sensitivity run:</w:t>
      </w:r>
    </w:p>
    <w:p>
      <w:pPr>
        <w:pStyle w:val="Compact"/>
        <w:numPr>
          <w:ilvl w:val="0"/>
          <w:numId w:val="1018"/>
        </w:numPr>
      </w:pPr>
      <w:hyperlink w:anchor="tbl-eqcatch">
        <w:r>
          <w:rPr>
            <w:rStyle w:val="Hyperlink"/>
          </w:rPr>
          <w:t xml:space="preserve">Table 7.7</w:t>
        </w:r>
      </w:hyperlink>
      <w:r>
        <w:t xml:space="preserve"> </w:t>
      </w:r>
      <w:r>
        <w:t xml:space="preserve">provides the initial equilibrium catch</w:t>
      </w:r>
    </w:p>
    <w:p>
      <w:pPr>
        <w:pStyle w:val="Compact"/>
        <w:numPr>
          <w:ilvl w:val="0"/>
          <w:numId w:val="1018"/>
        </w:numPr>
      </w:pPr>
      <w:r>
        <w:t xml:space="preserve">Tables</w:t>
      </w:r>
      <w:r>
        <w:t xml:space="preserve"> </w:t>
      </w:r>
      <w:hyperlink w:anchor="tbl-est-msy">
        <w:r>
          <w:rPr>
            <w:rStyle w:val="Hyperlink"/>
          </w:rPr>
          <w:t xml:space="preserve">7.9</w:t>
        </w:r>
      </w:hyperlink>
      <w:r>
        <w:t xml:space="preserve"> </w:t>
      </w:r>
      <w:r>
        <w:t xml:space="preserve">and</w:t>
      </w:r>
      <w:r>
        <w:t xml:space="preserve"> </w:t>
      </w:r>
      <w:hyperlink w:anchor="tbl-msy">
        <w:r>
          <w:rPr>
            <w:rStyle w:val="Hyperlink"/>
          </w:rPr>
          <w:t xml:space="preserve">7.10</w:t>
        </w:r>
      </w:hyperlink>
      <w:r>
        <w:t xml:space="preserve"> </w:t>
      </w:r>
      <w:r>
        <w:t xml:space="preserve">provide the MSY proxy (based on SPR 40%)</w:t>
      </w:r>
    </w:p>
    <w:p>
      <w:pPr>
        <w:pStyle w:val="Compact"/>
        <w:numPr>
          <w:ilvl w:val="0"/>
          <w:numId w:val="1018"/>
        </w:numPr>
      </w:pPr>
      <w:hyperlink w:anchor="tbl-msra">
        <w:r>
          <w:rPr>
            <w:rStyle w:val="Hyperlink"/>
          </w:rPr>
          <w:t xml:space="preserve">Table 7.11</w:t>
        </w:r>
      </w:hyperlink>
      <w:r>
        <w:t xml:space="preserve"> </w:t>
      </w:r>
      <w:r>
        <w:t xml:space="preserve">summarizes the fishing mortality rate and spawning stock biomass ratios relative to the rate and biomass of the stock associated the MSY proxy (based on SPR 40%)</w:t>
      </w:r>
    </w:p>
    <w:bookmarkStart w:id="57" w:name="growth-cv"/>
    <w:p>
      <w:pPr>
        <w:pStyle w:val="Heading3"/>
      </w:pPr>
      <w:r>
        <w:t xml:space="preserve">4.8.1 Growth CV</w:t>
      </w:r>
    </w:p>
    <w:p>
      <w:pPr>
        <w:pStyle w:val="FirstParagraph"/>
      </w:pPr>
      <w:r>
        <w:t xml:space="preserve">The first sensitivity scenario (s1) assumed coefficient of variation (CV) for young fish was increased from 0.15 to 0.25. Of all the sensitivities explored, the m3_s1 sensitivities resulted in the smallest change to the derived quantities relative to the corresponding m3 model configurations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 Growth is a critical process in all stock assessment models, and in this assessment, the CV for young fish was a particularly relevant sensitivity to examine due to the large number of small individuals (less than 11 cm) observed in the fishery-independent survey length compositions. While additional sensitivities related to growth were considered, they will be revisited in the discussion section as part of the research recommendations. The current models use the best available growth parameters from</w:t>
      </w:r>
      <w:r>
        <w:t xml:space="preserve"> </w:t>
      </w:r>
      <w:r>
        <w:t xml:space="preserve">Rivera Hernández &amp; Shervette (2024)</w:t>
      </w:r>
      <w:r>
        <w:t xml:space="preserve">.</w:t>
      </w:r>
    </w:p>
    <w:bookmarkEnd w:id="57"/>
    <w:bookmarkStart w:id="58" w:name="natural-mortality"/>
    <w:p>
      <w:pPr>
        <w:pStyle w:val="Heading3"/>
      </w:pPr>
      <w:r>
        <w:t xml:space="preserve">4.8.2 Natural Mortality</w:t>
      </w:r>
    </w:p>
    <w:p>
      <w:pPr>
        <w:pStyle w:val="FirstParagraph"/>
      </w:pPr>
      <w:r>
        <w:t xml:space="preserve">The second sensitivity scenario (s2) explored a lower natural mortality of 0.18, corresponding to a higher maximum age of 30 years. This higher maximum age, associated with tagging data by</w:t>
      </w:r>
      <w:r>
        <w:t xml:space="preserve"> </w:t>
      </w:r>
      <w:r>
        <w:t xml:space="preserve">Choat et al. (2003)</w:t>
      </w:r>
      <w:r>
        <w:t xml:space="preserve">, is significantly greater than the maximum age observed by</w:t>
      </w:r>
      <w:r>
        <w:t xml:space="preserve"> </w:t>
      </w:r>
      <w:r>
        <w:t xml:space="preserve">Rivera Hernández &amp; Shervette (2024)</w:t>
      </w:r>
      <w:r>
        <w:t xml:space="preserve">. Although the maximum age is often larger than the maximum age observed, particularly for species that have sustained historical fishing pressure, the</w:t>
      </w:r>
      <w:r>
        <w:t xml:space="preserve"> </w:t>
      </w:r>
      <w:r>
        <w:t xml:space="preserve">Hamel (2015)</w:t>
      </w:r>
      <w:r>
        <w:t xml:space="preserve"> </w:t>
      </w:r>
      <w:r>
        <w:t xml:space="preserve">method estimates natural mortality based on the maximum observed age. In this assessment, age is the only factor used to inform the estimate of natural mortality, making it important to consider the implications of assuming a lower M, which reflects a less productive stock. The m3_s2 sensitivity models showed notable differences from the corresponding m3 configurations. These differences included lower initial equilibrium catch, reduced MSY estimates, lower spawning stock biomass ratios, and higher fishing mortality ratios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w:t>
      </w:r>
    </w:p>
    <w:bookmarkEnd w:id="58"/>
    <w:bookmarkStart w:id="59" w:name="single-sex-model"/>
    <w:p>
      <w:pPr>
        <w:pStyle w:val="Heading3"/>
      </w:pPr>
      <w:r>
        <w:t xml:space="preserve">4.8.3 Single Sex Model</w:t>
      </w:r>
    </w:p>
    <w:p>
      <w:pPr>
        <w:pStyle w:val="FirstParagraph"/>
      </w:pPr>
      <w:r>
        <w:t xml:space="preserve">The third sensitivity scenario (s3) explored an alternative method for parameterizing hermaphroditism. This approach used a female-only model, accounting for sex transition by reducing fecundity rather than explicitly modeling males. Interestingly, this configuration produced estimates of initial catch that were identical to the corresponding M3 models, slightly higher MSY estimates, similar spawning stock biomass ratios, and slightly lower fishing mortality ratios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 This result demonstrates that the direct parameterization—despite its caveats, particularly for species where not all females transition, can be restructured in a different way while yielding broadly consistent outcomes.</w:t>
      </w:r>
    </w:p>
    <w:p>
      <w:pPr>
        <w:pStyle w:val="BodyText"/>
      </w:pPr>
      <w:r>
        <w:t xml:space="preserve">However, a key limitation of the m3_s3 single-sex models is the inability to capture potential sperm limitation due to the disproportionate removal of males, which may increase the risk of reduced reproductive output. As such, both model configurations provide useful perspectives and highlight the need for additional data and consideration to fully characterize uncertainty related to hermaphroditic biology in stoplight parrotfish. This uncertainty may represent a greater risk of overfishing compared to gonochoric species.</w:t>
      </w:r>
    </w:p>
    <w:bookmarkEnd w:id="59"/>
    <w:bookmarkStart w:id="60" w:name="standard-error-on-catch"/>
    <w:p>
      <w:pPr>
        <w:pStyle w:val="Heading3"/>
      </w:pPr>
      <w:r>
        <w:t xml:space="preserve">4.8.4 Standard Error on Catch</w:t>
      </w:r>
    </w:p>
    <w:p>
      <w:pPr>
        <w:pStyle w:val="FirstParagraph"/>
      </w:pPr>
      <w:r>
        <w:t xml:space="preserve">The fourth sensitivity scenario (s4) examined the effect of further relaxing the information that informs the initial model conditions. In the m3 model variations, a standard error of 0.3 was applied to the landings data (see</w:t>
      </w:r>
      <w:r>
        <w:t xml:space="preserve"> </w:t>
      </w:r>
      <w:hyperlink w:anchor="sec-data-fleet-catch">
        <w:r>
          <w:rPr>
            <w:rStyle w:val="Hyperlink"/>
          </w:rPr>
          <w:t xml:space="preserve">Section 2.1.1</w:t>
        </w:r>
      </w:hyperlink>
      <w:r>
        <w:t xml:space="preserve">). Compared to the m2 model variations, this resulted in lower estimates of initial equilibrium catch. However, likelihood profiles (see</w:t>
      </w:r>
      <w:r>
        <w:t xml:space="preserve"> </w:t>
      </w:r>
      <w:hyperlink w:anchor="sec-daignostics-eqcatch-profile">
        <w:r>
          <w:rPr>
            <w:rStyle w:val="Hyperlink"/>
          </w:rPr>
          <w:t xml:space="preserve">Section 4.7.2</w:t>
        </w:r>
      </w:hyperlink>
      <w:r>
        <w:t xml:space="preserve">) showed improved fit at even lower fixes estimates of equilibrium catch. This led to the exploration of increased input uncertainty using a standard error of 2.0 associated with the input equilibrium catch.</w:t>
      </w:r>
    </w:p>
    <w:p>
      <w:pPr>
        <w:pStyle w:val="BodyText"/>
      </w:pPr>
      <w:r>
        <w:t xml:space="preserve">Effectively, this provides greater flexibility in estimating initial conditions, which are known to be difficult to resolve without longer time series. The m3_s4 sensitivities produced much lower estimates of initial catch and MSY, higher fishing mortality ratios, and similar biomass ratios compared to the M3 models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w:t>
      </w:r>
    </w:p>
    <w:p>
      <w:pPr>
        <w:pStyle w:val="BodyText"/>
      </w:pPr>
      <w:r>
        <w:t xml:space="preserve">These results highlight the significance of uncertainty in initial conditions. While the model fit improved with lower assumed historical catches, this also suggested a less productive stock. This sensitivity underscores the value of longer historical data series. Without them, there is considerable uncertainty in defining the initial conditions, and the M3_S4 results imply that if early landings were smaller than assumed in the M3 models, the stock may be inherently less productive.</w:t>
      </w:r>
    </w:p>
    <w:p>
      <w:pPr>
        <w:pStyle w:val="BodyText"/>
      </w:pPr>
      <w:hyperlink w:anchor="fig-s4-density">
        <w:r>
          <w:rPr>
            <w:rStyle w:val="Hyperlink"/>
          </w:rPr>
          <w:t xml:space="preserve">Figure 8.20</w:t>
        </w:r>
      </w:hyperlink>
      <w:r>
        <w:t xml:space="preserve"> </w:t>
      </w:r>
      <w:r>
        <w:t xml:space="preserve">shows that the estimates and associated uncertainty for unfished recruitment (R0) and virgin spawning stock biomass in the m3_s4 sensitivity scenarios are shifted toward smaller values compared to the m3 model results. The time series of derived quantities for the m3_s4 scenarios are provided in</w:t>
      </w:r>
      <w:r>
        <w:t xml:space="preserve"> </w:t>
      </w:r>
      <w:hyperlink w:anchor="fig-s4-dq">
        <w:r>
          <w:rPr>
            <w:rStyle w:val="Hyperlink"/>
          </w:rPr>
          <w:t xml:space="preserve">Figure 8.21</w:t>
        </w:r>
      </w:hyperlink>
      <w:r>
        <w:t xml:space="preserve"> </w:t>
      </w:r>
      <w:r>
        <w:t xml:space="preserve">and appear broadly similar to those from the m3 models shown in</w:t>
      </w:r>
      <w:r>
        <w:t xml:space="preserve"> </w:t>
      </w:r>
      <w:hyperlink w:anchor="fig-m3-dq">
        <w:r>
          <w:rPr>
            <w:rStyle w:val="Hyperlink"/>
          </w:rPr>
          <w:t xml:space="preserve">Figure 8.5</w:t>
        </w:r>
      </w:hyperlink>
      <w:r>
        <w:t xml:space="preserve">.</w:t>
      </w:r>
    </w:p>
    <w:bookmarkEnd w:id="60"/>
    <w:bookmarkStart w:id="61" w:name="Xc25556e0bcabf1609295e8919371b974d9b6aaa"/>
    <w:p>
      <w:pPr>
        <w:pStyle w:val="Heading3"/>
      </w:pPr>
      <w:r>
        <w:t xml:space="preserve">4.8.5 Standard Error on Catch, and Natural Mortality</w:t>
      </w:r>
    </w:p>
    <w:p>
      <w:pPr>
        <w:pStyle w:val="FirstParagraph"/>
      </w:pPr>
      <w:r>
        <w:t xml:space="preserve">The fifth sensitivity scenario (s5) explored the combined implications of two key sensitivities that had notable effects on model outcomes: increased uncertainty around initial equilibrium catch and lower natural mortality associated with a higher maximum age. By evaluating both assumptions simultaneously, this scenario helps communicate the compounding uncertainty associated with the baseline M3 model configurations.</w:t>
      </w:r>
    </w:p>
    <w:p>
      <w:pPr>
        <w:pStyle w:val="BodyText"/>
      </w:pPr>
      <w:r>
        <w:t xml:space="preserve">The combined effect of these resulted in substantially higher estimates of relative fishing mortality and lower estimates of MSY and initial catch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 As shown in</w:t>
      </w:r>
      <w:r>
        <w:t xml:space="preserve"> </w:t>
      </w:r>
      <w:hyperlink w:anchor="fig-s5-density">
        <w:r>
          <w:rPr>
            <w:rStyle w:val="Hyperlink"/>
          </w:rPr>
          <w:t xml:space="preserve">Figure 8.22</w:t>
        </w:r>
      </w:hyperlink>
      <w:r>
        <w:t xml:space="preserve">, the estimates and uncertainty for unfished recruitment (R0) and virgin spawning stock biomass in the m3_s5 models are shifted to smaller values and show more consistency across configurations. The time series of derived quantities in</w:t>
      </w:r>
      <w:r>
        <w:t xml:space="preserve"> </w:t>
      </w:r>
      <w:hyperlink w:anchor="fig-s5-dq">
        <w:r>
          <w:rPr>
            <w:rStyle w:val="Hyperlink"/>
          </w:rPr>
          <w:t xml:space="preserve">Figure 8.23</w:t>
        </w:r>
      </w:hyperlink>
      <w:r>
        <w:t xml:space="preserve"> </w:t>
      </w:r>
      <w:r>
        <w:t xml:space="preserve">indicate that the m3_s5 models converge on lower spawning output and higher fishing mortality relative to the M3 scenarios.</w:t>
      </w:r>
    </w:p>
    <w:bookmarkEnd w:id="61"/>
    <w:bookmarkStart w:id="62" w:name="X6c19f53e02d32e14021a938ca2b0987bae328a9"/>
    <w:p>
      <w:pPr>
        <w:pStyle w:val="Heading3"/>
      </w:pPr>
      <w:r>
        <w:t xml:space="preserve">4.8.6 Single Sex Model, Standard Error on Catch, and Natural Mortality</w:t>
      </w:r>
    </w:p>
    <w:p>
      <w:pPr>
        <w:pStyle w:val="FirstParagraph"/>
      </w:pPr>
      <w:r>
        <w:t xml:space="preserve">Similar to the s3 sensitivity run, the sixth and final sensitivity scenario (s6) was conducted to evaluate whether the dynamics and implications observed in the s5 scenario persisted when the model was reconfigured as a single-sex model. The results from the m3_s6 sensitivity runs were closely aligned with those of the m3_s5 scenarios, indicating that the combined effects of lower natural mortality and increased uncertainty in initial catch are robust to the choice of sex structure in the model (Tables</w:t>
      </w:r>
      <w:r>
        <w:t xml:space="preserve"> </w:t>
      </w:r>
      <w:hyperlink w:anchor="tbl-eqcatch">
        <w:r>
          <w:rPr>
            <w:rStyle w:val="Hyperlink"/>
          </w:rPr>
          <w:t xml:space="preserve">7.7</w:t>
        </w:r>
      </w:hyperlink>
      <w:r>
        <w:t xml:space="preserve">,</w:t>
      </w:r>
      <w:r>
        <w:t xml:space="preserve"> </w:t>
      </w:r>
      <w:hyperlink w:anchor="tbl-est-msy">
        <w:r>
          <w:rPr>
            <w:rStyle w:val="Hyperlink"/>
          </w:rPr>
          <w:t xml:space="preserve">7.9</w:t>
        </w:r>
      </w:hyperlink>
      <w:r>
        <w:t xml:space="preserve">,</w:t>
      </w:r>
      <w:r>
        <w:t xml:space="preserve"> </w:t>
      </w:r>
      <w:hyperlink w:anchor="tbl-msy">
        <w:r>
          <w:rPr>
            <w:rStyle w:val="Hyperlink"/>
          </w:rPr>
          <w:t xml:space="preserve">7.10</w:t>
        </w:r>
      </w:hyperlink>
      <w:r>
        <w:t xml:space="preserve">, and</w:t>
      </w:r>
      <w:r>
        <w:t xml:space="preserve"> </w:t>
      </w:r>
      <w:hyperlink w:anchor="tbl-msra">
        <w:r>
          <w:rPr>
            <w:rStyle w:val="Hyperlink"/>
          </w:rPr>
          <w:t xml:space="preserve">7.11</w:t>
        </w:r>
      </w:hyperlink>
      <w:r>
        <w:t xml:space="preserve">).</w:t>
      </w:r>
    </w:p>
    <w:bookmarkEnd w:id="62"/>
    <w:bookmarkEnd w:id="63"/>
    <w:bookmarkEnd w:id="64"/>
    <w:bookmarkStart w:id="65" w:name="discussion"/>
    <w:p>
      <w:pPr>
        <w:pStyle w:val="Heading1"/>
      </w:pPr>
      <w:r>
        <w:t xml:space="preserve">5. Discussion</w:t>
      </w:r>
    </w:p>
    <w:p>
      <w:pPr>
        <w:pStyle w:val="FirstParagraph"/>
      </w:pPr>
      <w:r>
        <w:t xml:space="preserve">This assessment presents a suite of model configurations developed to address key uncertainties in data and model structure, using an integrated framework to characterize the stock status of stoplight parrotfish in St. Croix. While the results broadly indicate that overfishing is not occurring and the stock is not overfished, the diagnostics and sensitivities explored in this report highlight critical caveats—primarily due to limited and low-contrast data inputs.</w:t>
      </w:r>
    </w:p>
    <w:p>
      <w:pPr>
        <w:pStyle w:val="BodyText"/>
      </w:pPr>
      <w:r>
        <w:t xml:space="preserve">A major source of uncertainty stems from the unknown initial conditions. The short time series, coarse resolution in length binning, and absence of early fishery information make it challenging for the models to resolve the historical state of the stock. Although the input standard error on landings was relaxed in some configurations to reduce assumptions, likelihood profiles revealed conflicts and flat solution spaces, signaling weak data contrast and limited signal for estimating key parameters like initial catch and recruitment.</w:t>
      </w:r>
    </w:p>
    <w:p>
      <w:pPr>
        <w:pStyle w:val="BodyText"/>
      </w:pPr>
      <w:r>
        <w:t xml:space="preserve">Recruitment deviations, when estimated, are particularly uncertain, given the limited years of available data and large length bins. However, the availability of fishery-independent length data from the National Coral Reef Monitoring Program provides a valuable information source. The observed abundance of small fish may allow better inference of recruitment in future assessments. Finer resolution data (e.g., using 1 cm bins for specific years) could improve model performance and reduce uncertainty.</w:t>
      </w:r>
    </w:p>
    <w:p>
      <w:pPr>
        <w:pStyle w:val="BodyText"/>
      </w:pPr>
      <w:r>
        <w:t xml:space="preserve">Natural mortality and assumptions about the historical catch levels were two of the most influential parameters across model sensitivities. The combined sensitivity scenario (s5) showed that increasing uncertainty in initial catch and assuming lower natural mortality led to lower MSY estimates and higher fishing mortality ratios. These patterns were robust across both sex-structured and single-sex model configurations.</w:t>
      </w:r>
    </w:p>
    <w:p>
      <w:pPr>
        <w:pStyle w:val="BodyText"/>
      </w:pPr>
      <w:r>
        <w:t xml:space="preserve">Importantly, despite the broad range of explored scenarios, nearly all model configurations concluded that overfishing is not occurring and the stock is not overfished—except for a few sensitivities (e.g., m3_s6 for overfishing, and v3_m3_s2, v3_m3_s5, and v3_m3_s6 for overfished status) which reflected more pessimistic assumptions. This reinforces the value of exploring uncertainty via structured sensitivities and suggests a future direction toward developing model grids or ensembles to guide management advice.</w:t>
      </w:r>
    </w:p>
    <w:p>
      <w:pPr>
        <w:pStyle w:val="BodyText"/>
      </w:pPr>
      <w:r>
        <w:t xml:space="preserve">While integrated models such as Stock Synthesis offer powerful tools for evaluating stock dynamics using multiple data sources, it may also be useful to explore simpler alternative models and to simulation test assumptions and risks of overparameterization. Further research into model complexity and parsimony would help</w:t>
      </w:r>
      <w:r>
        <w:t xml:space="preserve"> </w:t>
      </w:r>
      <w:r>
        <w:t xml:space="preserve">“right-size”</w:t>
      </w:r>
      <w:r>
        <w:t xml:space="preserve"> </w:t>
      </w:r>
      <w:r>
        <w:t xml:space="preserve">assessment frameworks to match data richness.</w:t>
      </w:r>
    </w:p>
    <w:p>
      <w:pPr>
        <w:pStyle w:val="BodyText"/>
      </w:pPr>
      <w:r>
        <w:t xml:space="preserve">Given that stoplight parrotfish is currently the only parrotfish species in the complex with a full SEDAR-based assessment, it may be worth reconsidering if catch limits for the entire parrotfish unit should be based on the combined historical average landings of two indicator species, as currently implemented, particularly if stoplight parrotfish catch continues to represent a significant portion of the total.</w:t>
      </w:r>
    </w:p>
    <w:p>
      <w:pPr>
        <w:pStyle w:val="BodyText"/>
      </w:pPr>
      <w:r>
        <w:t xml:space="preserve">Additionally, this assessment assumes an open population with recruitment not tightly linked to local spawning stock. This assumption could benefit from future exploration of regional connectivity, as it has implications for both model structure and management scale. If connectivity across islands is strong, larger-scale stock definitions or spatially explicit metapopulation modeling approaches may be warranted.</w:t>
      </w:r>
    </w:p>
    <w:p>
      <w:pPr>
        <w:pStyle w:val="BodyText"/>
      </w:pPr>
      <w:r>
        <w:t xml:space="preserve">Finally, the stepwise, reproducible approach used in this assessment offers a framework that could be applied to other data-limited Caribbean species. Expanding the approach through targeted data collection and method development could improve the timeliness and robustness of stock assessments across the region. This will require continued support for long-term monitoring programs, higher-resolution data collection, and investment in model development and bridging exercises to deliver science-based, real-time management advice.</w:t>
      </w:r>
    </w:p>
    <w:bookmarkEnd w:id="65"/>
    <w:bookmarkStart w:id="66" w:name="research-recomendations"/>
    <w:p>
      <w:pPr>
        <w:pStyle w:val="Heading1"/>
      </w:pPr>
      <w:r>
        <w:t xml:space="preserve">6. Research Recomendations</w:t>
      </w:r>
    </w:p>
    <w:p>
      <w:pPr>
        <w:pStyle w:val="FirstParagraph"/>
      </w:pPr>
      <w:r>
        <w:t xml:space="preserve">To address some of the data uncertainties it is recommended to:</w:t>
      </w:r>
    </w:p>
    <w:p>
      <w:pPr>
        <w:numPr>
          <w:ilvl w:val="0"/>
          <w:numId w:val="1019"/>
        </w:numPr>
      </w:pPr>
      <w:r>
        <w:t xml:space="preserve">Expand fishery-independent survey time series and resolution (e.g., retain and use 1-cm length bin data where available).</w:t>
      </w:r>
    </w:p>
    <w:p>
      <w:pPr>
        <w:numPr>
          <w:ilvl w:val="0"/>
          <w:numId w:val="1019"/>
        </w:numPr>
      </w:pPr>
      <w:r>
        <w:t xml:space="preserve">Further evaluate natural mortality and growth assumptions. Collect and analyze additional life history data to reduce uncertainty around growth and natural mortality rates.</w:t>
      </w:r>
    </w:p>
    <w:p>
      <w:pPr>
        <w:numPr>
          <w:ilvl w:val="0"/>
          <w:numId w:val="1019"/>
        </w:numPr>
      </w:pPr>
      <w:r>
        <w:t xml:space="preserve">Conduct focused research on historical catches and fishing history to inform and constrain early model conditions.</w:t>
      </w:r>
    </w:p>
    <w:p>
      <w:pPr>
        <w:numPr>
          <w:ilvl w:val="0"/>
          <w:numId w:val="1019"/>
        </w:numPr>
      </w:pPr>
      <w:r>
        <w:t xml:space="preserve">Consider using simpler production models or age-structured models with fixed selectivity to isolate and evaluate different data inputs.</w:t>
      </w:r>
    </w:p>
    <w:p>
      <w:pPr>
        <w:numPr>
          <w:ilvl w:val="0"/>
          <w:numId w:val="1019"/>
        </w:numPr>
      </w:pPr>
      <w:r>
        <w:t xml:space="preserve">Develop and evaluate model ensembles or uncertainty grids to guide catch advice under different plausible scenarios.</w:t>
      </w:r>
    </w:p>
    <w:p>
      <w:pPr>
        <w:numPr>
          <w:ilvl w:val="0"/>
          <w:numId w:val="1019"/>
        </w:numPr>
      </w:pPr>
      <w:r>
        <w:t xml:space="preserve">Investigate stock connectivity to better understand local vs. regional recruitment dynamics.</w:t>
      </w:r>
    </w:p>
    <w:p>
      <w:pPr>
        <w:numPr>
          <w:ilvl w:val="0"/>
          <w:numId w:val="1019"/>
        </w:numPr>
      </w:pPr>
      <w:r>
        <w:t xml:space="preserve">Re-examine whether the current single-stock unit for parrotfish is appropriate, given available data only comprehensively evaluate S. viride.</w:t>
      </w:r>
    </w:p>
    <w:p>
      <w:pPr>
        <w:numPr>
          <w:ilvl w:val="0"/>
          <w:numId w:val="1019"/>
        </w:numPr>
      </w:pPr>
      <w:r>
        <w:t xml:space="preserve">Research methods to</w:t>
      </w:r>
      <w:r>
        <w:t xml:space="preserve"> </w:t>
      </w:r>
      <w:r>
        <w:t xml:space="preserve">“right-size”</w:t>
      </w:r>
      <w:r>
        <w:t xml:space="preserve"> </w:t>
      </w:r>
      <w:r>
        <w:t xml:space="preserve">model complexity to match data availability, avoiding overparameterization in data-limited contexts.</w:t>
      </w:r>
    </w:p>
    <w:p>
      <w:pPr>
        <w:numPr>
          <w:ilvl w:val="0"/>
          <w:numId w:val="1019"/>
        </w:numPr>
      </w:pPr>
      <w:r>
        <w:t xml:space="preserve">Expand simulation studies to understand trade-offs in model complexity vs. data requirements.</w:t>
      </w:r>
    </w:p>
    <w:p>
      <w:pPr>
        <w:numPr>
          <w:ilvl w:val="0"/>
          <w:numId w:val="1019"/>
        </w:numPr>
      </w:pPr>
      <w:r>
        <w:t xml:space="preserve">Support MSEs that are robust to key uncertainties to guide harvest advice.</w:t>
      </w:r>
    </w:p>
    <w:p>
      <w:pPr>
        <w:numPr>
          <w:ilvl w:val="0"/>
          <w:numId w:val="1019"/>
        </w:numPr>
      </w:pPr>
      <w:r>
        <w:t xml:space="preserve">Maintain and expand commercial catch monitoring programs</w:t>
      </w:r>
    </w:p>
    <w:p>
      <w:pPr>
        <w:numPr>
          <w:ilvl w:val="0"/>
          <w:numId w:val="1019"/>
        </w:numPr>
      </w:pPr>
      <w:r>
        <w:t xml:space="preserve">Ensure the continuation of fishery-independent survey programs (e.g., NCRMP) with consistent spatial and temporal coverage.</w:t>
      </w:r>
    </w:p>
    <w:p>
      <w:pPr>
        <w:numPr>
          <w:ilvl w:val="0"/>
          <w:numId w:val="1019"/>
        </w:numPr>
      </w:pPr>
      <w:r>
        <w:t xml:space="preserve">Expand port sampling and other fishery-dependent data collection to fill gaps in length composition and effort data.</w:t>
      </w:r>
    </w:p>
    <w:bookmarkEnd w:id="66"/>
    <w:bookmarkStart w:id="78" w:name="tables"/>
    <w:p>
      <w:pPr>
        <w:pStyle w:val="Heading1"/>
      </w:pPr>
      <w:r>
        <w:t xml:space="preserve">7. Tables</w:t>
      </w:r>
    </w:p>
    <w:tbl>
      <w:tblPr>
        <w:tblStyle w:val="Table"/>
        <w:tblW w:type="pct" w:w="5000"/>
        <w:tblLayout w:type="fixed"/>
        <w:tblLook w:firstRow="0" w:lastRow="0" w:firstColumn="0" w:lastColumn="0" w:noHBand="0" w:noVBand="0" w:val="0000"/>
      </w:tblPr>
      <w:tblGrid>
        <w:gridCol w:w="7920"/>
      </w:tblGrid>
      <w:tr>
        <w:tc>
          <w:tcPr/>
          <w:bookmarkStart w:id="67" w:name="tbl-catch"/>
          <w:p>
            <w:pPr>
              <w:jc w:val="center"/>
            </w:pPr>
            <w:pPr>
              <w:jc w:val="start"/>
              <w:spacing w:before="200"/>
              <w:pStyle w:val="ImageCaption"/>
            </w:pPr>
            <w:r>
              <w:t xml:space="preserve">Table 7.1: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 Gears</w:t>
                  </w:r>
                </w:p>
              </w:tc>
              <w:tc>
                <w:tcPr/>
                <w:p>
                  <w:pPr>
                    <w:pStyle w:val="Compact"/>
                    <w:jc w:val="right"/>
                    <w:jc w:val="center"/>
                  </w:pPr>
                  <w:r>
                    <w:t xml:space="preserve">Other Gears</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m"/>
          <w:p>
            <w:pPr>
              <w:jc w:val="center"/>
            </w:pPr>
            <w:pPr>
              <w:jc w:val="start"/>
              <w:spacing w:before="200"/>
              <w:pStyle w:val="ImageCaption"/>
            </w:pPr>
            <w:r>
              <w:t xml:space="preserve">Table 7.2: Empirical estimates of natural mortality (M)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 All models included in this report utilize the natural mortality estimate of 0.27 corresponding with the maximum age observed by</w:t>
            </w:r>
            <w:r>
              <w:t xml:space="preserve"> </w:t>
            </w:r>
            <w:r>
              <w:t xml:space="preserve">Rivera Hernández &amp; Shervette (2024)</w:t>
            </w:r>
            <w:r>
              <w:t xml:space="preserve">, except three of the sensitivity scenarios (s2, s5, and s6) which utilize the 0.18 natural morality corresponding with the estimated maximum age from tagging studies by</w:t>
            </w:r>
            <w:r>
              <w:t xml:space="preserve"> </w:t>
            </w:r>
            <w:r>
              <w:t xml:space="preserve">Choat et al. (2003)</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rPr>
                      <w:b/>
                      <w:bCs/>
                    </w:rPr>
                    <w:t xml:space="preserve">0.180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Maximum age</w:t>
                  </w:r>
                </w:p>
              </w:tc>
              <w:tc>
                <w:tcPr/>
                <w:p>
                  <w:pPr>
                    <w:pStyle w:val="Compact"/>
                    <w:jc w:val="center"/>
                    <w:jc w:val="center"/>
                  </w:pPr>
                  <w:r>
                    <w:t xml:space="preserve">20</w:t>
                  </w:r>
                </w:p>
              </w:tc>
              <w:tc>
                <w:tcPr/>
                <w:p>
                  <w:pPr>
                    <w:pStyle w:val="Compact"/>
                    <w:jc w:val="center"/>
                    <w:jc w:val="center"/>
                  </w:pPr>
                  <w:r>
                    <w:rPr>
                      <w:b/>
                      <w:bCs/>
                    </w:rPr>
                    <w:t xml:space="preserve">0.270</w:t>
                  </w:r>
                </w:p>
              </w:tc>
              <w:tc>
                <w:tcPr/>
                <w:p>
                  <w:pPr>
                    <w:pStyle w:val="Compact"/>
                    <w:jc w:val="left"/>
                    <w:jc w:val="center"/>
                  </w:pPr>
                  <w: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8"/>
          <w:p/>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overview"/>
          <w:p>
            <w:pPr>
              <w:jc w:val="center"/>
            </w:pPr>
            <w:pPr>
              <w:jc w:val="start"/>
              <w:spacing w:before="200"/>
              <w:pStyle w:val="ImageCaption"/>
            </w:pPr>
            <w:r>
              <w:t xml:space="preserve">Table 7.3: Summary of process and naming conventions used for SEDAR 84 assessments describing model development noting the simplest data-limited configuration, exploring individual data-moderate considerations, individually and combined. The models focused on in the current report are associated with the codes in bold.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0" w:name="tbl-ss3-stxslp"/>
          <w:p>
            <w:pPr>
              <w:jc w:val="center"/>
            </w:pPr>
            <w:pPr>
              <w:jc w:val="start"/>
              <w:spacing w:before="200"/>
              <w:pStyle w:val="ImageCaption"/>
            </w:pPr>
            <w:r>
              <w:t xml:space="preserve">Table 7.4: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t xml:space="preserve">Initial</w:t>
                  </w:r>
                </w:p>
              </w:tc>
              <w:tc>
                <w:tcPr/>
                <w:p>
                  <w:pPr>
                    <w:pStyle w:val="Compact"/>
                    <w:jc w:val="center"/>
                    <w:jc w:val="center"/>
                  </w:pPr>
                  <w:r>
                    <w:rPr>
                      <w:b/>
                      <w:bCs/>
                    </w:rPr>
                    <w:t xml:space="preserve">m3</w:t>
                  </w:r>
                </w:p>
              </w:tc>
              <w:tc>
                <w:tcPr/>
                <w:p>
                  <w:pPr>
                    <w:pStyle w:val="Compact"/>
                    <w:jc w:val="center"/>
                  </w:pPr>
                  <w: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rPr>
                      <w:b/>
                      <w:bCs/>
                    </w:rP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rPr>
                      <w:b/>
                      <w:bCs/>
                    </w:rP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rPr>
                      <w:b/>
                      <w:bCs/>
                    </w:rP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rPr>
                      <w:b/>
                      <w:bCs/>
                    </w:rP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rPr>
                      <w:b/>
                      <w:bCs/>
                    </w:rP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rPr>
                      <w:b/>
                      <w:bCs/>
                    </w:rPr>
                    <w:t xml:space="preserve">s4</w:t>
                  </w:r>
                </w:p>
              </w:tc>
              <w:tc>
                <w:tcPr/>
                <w:p>
                  <w:pPr>
                    <w:pStyle w:val="Compact"/>
                    <w:jc w:val="center"/>
                  </w:pPr>
                  <w:r>
                    <w:t xml:space="preserve">higher catch uncertainty</w:t>
                  </w:r>
                </w:p>
              </w:tc>
            </w:tr>
            <w:tr>
              <w:tc>
                <w:tcPr/>
                <w:p>
                  <w:pPr>
                    <w:pStyle w:val="Compact"/>
                    <w:jc w:val="center"/>
                  </w:pPr>
                  <w:r>
                    <w:t xml:space="preserve">Sensitivity</w:t>
                  </w:r>
                </w:p>
              </w:tc>
              <w:tc>
                <w:tcPr/>
                <w:p>
                  <w:pPr>
                    <w:pStyle w:val="Compact"/>
                    <w:jc w:val="center"/>
                    <w:jc w:val="center"/>
                  </w:pPr>
                  <w:r>
                    <w:rPr>
                      <w:b/>
                      <w:bCs/>
                    </w:rPr>
                    <w:t xml:space="preserve">s5</w:t>
                  </w:r>
                </w:p>
              </w:tc>
              <w:tc>
                <w:tcPr/>
                <w:p>
                  <w:pPr>
                    <w:pStyle w:val="Compact"/>
                    <w:jc w:val="center"/>
                  </w:pPr>
                  <w:r>
                    <w:t xml:space="preserve">s2 + s4</w:t>
                  </w:r>
                </w:p>
              </w:tc>
            </w:tr>
            <w:tr>
              <w:tc>
                <w:tcPr/>
                <w:p>
                  <w:pPr>
                    <w:pStyle w:val="Compact"/>
                    <w:jc w:val="center"/>
                  </w:pPr>
                  <w:r>
                    <w:t xml:space="preserve">Sensitivity</w:t>
                  </w:r>
                </w:p>
              </w:tc>
              <w:tc>
                <w:tcPr/>
                <w:p>
                  <w:pPr>
                    <w:pStyle w:val="Compact"/>
                    <w:jc w:val="center"/>
                    <w:jc w:val="center"/>
                  </w:pPr>
                  <w:r>
                    <w:t xml:space="preserve">s6</w:t>
                  </w:r>
                </w:p>
              </w:tc>
              <w:tc>
                <w:tcPr/>
                <w:p>
                  <w:pPr>
                    <w:pStyle w:val="Compact"/>
                    <w:jc w:val="center"/>
                  </w:pPr>
                  <w:r>
                    <w:t xml:space="preserve">s2 + s3 + s4</w:t>
                  </w:r>
                </w:p>
              </w:tc>
            </w:tr>
          </w:tbl>
          <w:bookmarkEnd w:id="70"/>
          <w:p/>
        </w:tc>
      </w:tr>
    </w:tbl>
    <w:p>
      <w:r>
        <w:br w:type="page"/>
      </w:r>
    </w:p>
    <w:tbl>
      <w:tblPr>
        <w:tblStyle w:val="Table"/>
        <w:tblW w:type="pct" w:w="5000"/>
        <w:tblLayout w:type="fixed"/>
        <w:tblLook w:firstRow="0" w:lastRow="0" w:firstColumn="0" w:lastColumn="0" w:noHBand="0" w:noVBand="0" w:val="0000"/>
      </w:tblPr>
      <w:tblGrid>
        <w:gridCol w:w="7920"/>
      </w:tblGrid>
      <w:tr>
        <w:tc>
          <w:tcPr/>
          <w:bookmarkStart w:id="71" w:name="tbl-corr"/>
          <w:p>
            <w:pPr>
              <w:jc w:val="center"/>
            </w:pPr>
            <w:pPr>
              <w:jc w:val="start"/>
              <w:spacing w:before="200"/>
              <w:pStyle w:val="ImageCaption"/>
            </w:pPr>
            <w:r>
              <w:t xml:space="preserve">Table 7.5: St. Croix stoplight parrotfish correlations between estimated parameters across the m2 and m3 model variations.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dq"/>
          <w:p>
            <w:pPr>
              <w:jc w:val="center"/>
            </w:pPr>
            <w:pPr>
              <w:jc w:val="start"/>
              <w:spacing w:before="200"/>
              <w:pStyle w:val="ImageCaption"/>
            </w:pPr>
            <w:r>
              <w:t xml:space="preserve">Table 7.6: St. Croix stoplight parrotfish derived quantities for unfished and initial spawning stock biomass in metric tons (mt) along with standard deviations (SD) and coefficient of variation (CV) by model varation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30"/>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eqcatch"/>
          <w:p>
            <w:pPr>
              <w:jc w:val="center"/>
            </w:pPr>
            <w:pPr>
              <w:jc w:val="start"/>
              <w:spacing w:before="200"/>
              <w:pStyle w:val="ImageCaption"/>
            </w:pPr>
            <w:r>
              <w:t xml:space="preserve">Table 7.7: St. Croix stoplight parrotfish estimated initial equilibrium catch in metric tons by model variation including across sensitivity runs.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r>
              <w:trPr>
                <w:trHeight w:val="777" w:hRule="auto"/>
              </w:trPr>
              body7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r>
              <w:trPr>
                <w:trHeight w:val="777" w:hRule="auto"/>
              </w:trPr>
              body8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bl>
          <w:bookmarkEnd w:id="73"/>
        </w:tc>
      </w:tr>
    </w:tbl>
    <w:p>
      <w:r>
        <w:br w:type="page"/>
      </w:r>
    </w:p>
    <w:tbl>
      <w:tblPr>
        <w:tblStyle w:val="Table"/>
        <w:tblW w:type="pct" w:w="5000"/>
        <w:tblLayout w:type="fixed"/>
        <w:tblLook w:firstRow="0" w:lastRow="0" w:firstColumn="0" w:lastColumn="0" w:noHBand="0" w:noVBand="0" w:val="0000"/>
      </w:tblPr>
      <w:tblGrid>
        <w:gridCol w:w="7920"/>
      </w:tblGrid>
      <w:tr>
        <w:tc>
          <w:tcPr/>
          <w:bookmarkStart w:id="74" w:name="tbl-parm"/>
          <w:p>
            <w:pPr>
              <w:jc w:val="center"/>
            </w:pPr>
            <w:pPr>
              <w:jc w:val="start"/>
              <w:spacing w:before="200"/>
              <w:pStyle w:val="ImageCaption"/>
            </w:pPr>
            <w:r>
              <w:t xml:space="preserve">Table 7.8: St. Croix stoplight parrotfish parameters, standard deviations (SD), and coefficient of variation (CV) by model varation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gridCol w:w="1254"/>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Gradient</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-4.0e-06</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1.1e-05</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1.9e-05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1.6e-05</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-1.1e-05</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4.1e-06</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-1.6e-05</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-5.9e-05</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-1.4e-05</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2.5e-06</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-9.4e-06</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-3.3e-05</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1.4e-05</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-5.9e-06</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7.8e-06</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-2.0e-05</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7.2e-06</w:t>
                  </w:r>
                </w:p>
              </w:tc>
            </w:tr>
          </w:tbl>
          <w:bookmarkEnd w:id="74"/>
        </w:tc>
      </w:tr>
    </w:tbl>
    <w:p>
      <w:r>
        <w:br w:type="page"/>
      </w:r>
    </w:p>
    <w:tbl>
      <w:tblPr>
        <w:tblStyle w:val="Table"/>
        <w:tblW w:type="pct" w:w="5000"/>
        <w:tblLayout w:type="fixed"/>
        <w:tblLook w:firstRow="0" w:lastRow="0" w:firstColumn="0" w:lastColumn="0" w:noHBand="0" w:noVBand="0" w:val="0000"/>
      </w:tblPr>
      <w:tblGrid>
        <w:gridCol w:w="7920"/>
      </w:tblGrid>
      <w:tr>
        <w:tc>
          <w:tcPr/>
          <w:bookmarkStart w:id="75" w:name="tbl-est-msy"/>
          <w:p>
            <w:pPr>
              <w:jc w:val="center"/>
            </w:pPr>
            <w:pPr>
              <w:jc w:val="start"/>
              <w:spacing w:before="200"/>
              <w:pStyle w:val="ImageCaption"/>
            </w:pPr>
            <w:r>
              <w:t xml:space="preserve">Table 7.9: St. Croix stoplight parrotfish derived quantities of the MSY proxy (based on SPR 40%) in metric tons by model varation (a_m3, b_m3, v1_m3, v3_m3, and v7_m3) and corresponding each model variation’s six sensititivy runs. CV is calculated as the SD divided by the parameter estimate. Estimates of the MSY proxy are also presented in pounds in</w:t>
            </w:r>
            <w:r>
              <w:t xml:space="preserve"> </w:t>
            </w:r>
            <w:hyperlink w:anchor="tbl-msy">
              <w:r>
                <w:rPr>
                  <w:rStyle w:val="Hyperlink"/>
                </w:rPr>
                <w:t xml:space="preserve">Table 7.10</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body31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body34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body36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body37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613" w:hRule="auto"/>
              </w:trPr>
              body39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body40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bl>
          <w:bookmarkEnd w:id="75"/>
        </w:tc>
      </w:tr>
    </w:tbl>
    <w:p>
      <w:r>
        <w:br w:type="page"/>
      </w:r>
    </w:p>
    <w:tbl>
      <w:tblPr>
        <w:tblStyle w:val="Table"/>
        <w:tblW w:type="pct" w:w="5000"/>
        <w:tblLayout w:type="fixed"/>
        <w:tblLook w:firstRow="0" w:lastRow="0" w:firstColumn="0" w:lastColumn="0" w:noHBand="0" w:noVBand="0" w:val="0000"/>
      </w:tblPr>
      <w:tblGrid>
        <w:gridCol w:w="7920"/>
      </w:tblGrid>
      <w:tr>
        <w:tc>
          <w:tcPr/>
          <w:bookmarkStart w:id="76" w:name="tbl-msy"/>
          <w:p>
            <w:pPr>
              <w:jc w:val="center"/>
            </w:pPr>
            <w:pPr>
              <w:jc w:val="start"/>
              <w:spacing w:before="200"/>
              <w:pStyle w:val="ImageCaption"/>
            </w:pPr>
            <w:r>
              <w:t xml:space="preserve">Table 7.10: St. Croix stoplight parrotfish derived quantities of the MSY proxy (based on SPR 40%) in pounds by model varation (a_m3, b_m3, v1_m3, v3_m3, and v7_m3) and corresponding each model variation’s six sensititivy runs.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r>
              <w:trPr>
                <w:trHeight w:val="613" w:hRule="auto"/>
              </w:trPr>
              body7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16,333</w:t>
                  </w:r>
                </w:p>
              </w:tc>
            </w:tr>
            <w:tr>
              <w:trPr>
                <w:trHeight w:val="613" w:hRule="auto"/>
              </w:trPr>
              body8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16,856</w:t>
                  </w:r>
                </w:p>
              </w:tc>
            </w:tr>
          </w:tbl>
          <w:bookmarkEnd w:id="76"/>
        </w:tc>
      </w:tr>
    </w:tbl>
    <w:p>
      <w:r>
        <w:br w:type="page"/>
      </w:r>
    </w:p>
    <w:tbl>
      <w:tblPr>
        <w:tblStyle w:val="Table"/>
        <w:tblW w:type="pct" w:w="5000"/>
        <w:tblLayout w:type="fixed"/>
        <w:tblLook w:firstRow="0" w:lastRow="0" w:firstColumn="0" w:lastColumn="0" w:noHBand="0" w:noVBand="0" w:val="0000"/>
      </w:tblPr>
      <w:tblGrid>
        <w:gridCol w:w="7920"/>
      </w:tblGrid>
      <w:tr>
        <w:tc>
          <w:tcPr/>
          <w:bookmarkStart w:id="77" w:name="tbl-msra"/>
          <w:p>
            <w:pPr>
              <w:jc w:val="center"/>
            </w:pPr>
            <w:pPr>
              <w:jc w:val="start"/>
              <w:spacing w:before="200"/>
              <w:pStyle w:val="ImageCaption"/>
            </w:pPr>
            <w:r>
              <w:t xml:space="preserve">Table 7.11: St. Croix stoplight parrotfish fishing mortality rate and spawning stock biomass ratios relative to the rate and biomass of the stock associated with the MSY proxy (based on SPR 40%). The relative fishing mortality ratio is expressed as a three-year geometric mean of the annual fishing mortality rates for 2020-2022 divided by the fishing mortality rate associated with MSY SPR 40%. Relative fishing mortality rates that are above one are shown in red font. The relative stock biomass ratio is expressed as the 2022 spawning biomass divided by the spawning stock biomass at MSY SPR 40%. Relative fishing mortality ratios that are below one are shown in red font.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40"/>
              <w:gridCol w:w="1279"/>
              <w:gridCol w:w="839"/>
              <w:gridCol w:w="839"/>
              <w:gridCol w:w="839"/>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Metric</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57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 Current / F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57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3"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0.41</w:t>
                  </w:r>
                </w:p>
              </w:tc>
            </w:tr>
            <w:tr>
              <w:trPr>
                <w:trHeight w:val="613"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r>
            <w:tr>
              <w:trPr>
                <w:trHeight w:val="613"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 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r>
            <w:tr>
              <w:trPr>
                <w:trHeight w:val="577" w:hRule="auto"/>
              </w:trPr>
              body 9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2022 / SSB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r>
            <w:tr>
              <w:trPr>
                <w:trHeight w:val="57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w:t>
                  </w:r>
                </w:p>
              </w:tc>
            </w:tr>
            <w:tr>
              <w:trPr>
                <w:trHeight w:val="613" w:hRule="auto"/>
              </w:trPr>
              body11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r>
            <w:tr>
              <w:trPr>
                <w:trHeight w:val="613" w:hRule="auto"/>
              </w:trPr>
              body16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r>
          </w:tbl>
          <w:bookmarkEnd w:id="77"/>
        </w:tc>
      </w:tr>
    </w:tbl>
    <w:bookmarkEnd w:id="78"/>
    <w:bookmarkStart w:id="354" w:name="figures"/>
    <w:p>
      <w:pPr>
        <w:pStyle w:val="Heading1"/>
      </w:pPr>
      <w:r>
        <w:t xml:space="preserve">8. Figures</w:t>
      </w:r>
    </w:p>
    <w:tbl>
      <w:tblPr>
        <w:tblStyle w:val="Table"/>
        <w:tblW w:type="pct" w:w="5000"/>
        <w:tblLayout w:type="fixed"/>
        <w:tblLook w:firstRow="0" w:lastRow="0" w:firstColumn="0" w:lastColumn="0" w:noHBand="0" w:noVBand="0" w:val="0000"/>
      </w:tblPr>
      <w:tblGrid>
        <w:gridCol w:w="7920"/>
      </w:tblGrid>
      <w:tr>
        <w:tc>
          <w:tcPr/>
          <w:bookmarkStart w:id="82" w:name="fig-uscar"/>
          <w:p>
            <w:pPr>
              <w:pStyle w:val="Compact"/>
              <w:jc w:val="center"/>
            </w:pPr>
            <w:r>
              <w:drawing>
                <wp:inline>
                  <wp:extent cx="4206240" cy="5441823"/>
                  <wp:effectExtent b="0" l="0" r="0" t="0"/>
                  <wp:docPr descr="" title="" id="80" name="Picture"/>
                  <a:graphic>
                    <a:graphicData uri="http://schemas.openxmlformats.org/drawingml/2006/picture">
                      <pic:pic>
                        <pic:nvPicPr>
                          <pic:cNvPr descr="https://www.fisheries.noaa.gov/s3//styles/original/s3/dam-migration/island_group_management_areas.jpg?itok=5wvkxme2" id="81" name="Picture"/>
                          <pic:cNvPicPr>
                            <a:picLocks noChangeArrowheads="1" noChangeAspect="1"/>
                          </pic:cNvPicPr>
                        </pic:nvPicPr>
                        <pic:blipFill>
                          <a:blip r:embed="rId79"/>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Jurisdictional boundaries of the Caribbean Fishery Management Council.</w:t>
            </w:r>
          </w:p>
          <w:bookmarkEnd w:id="8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6" w:name="fig-eez"/>
          <w:p>
            <w:pPr>
              <w:pStyle w:val="Compact"/>
              <w:jc w:val="center"/>
            </w:pPr>
            <w:r>
              <w:drawing>
                <wp:inline>
                  <wp:extent cx="5486400" cy="4238244"/>
                  <wp:effectExtent b="0" l="0" r="0" t="0"/>
                  <wp:docPr descr="" title="" id="84" name="Picture"/>
                  <a:graphic>
                    <a:graphicData uri="http://schemas.openxmlformats.org/drawingml/2006/picture">
                      <pic:pic>
                        <pic:nvPicPr>
                          <pic:cNvPr descr="https://www.fisheries.noaa.gov/s3//styles/original/s3/dam-migration/carib_map_stx.jpg?itok=yeYHZ8gy" id="85" name="Picture"/>
                          <pic:cNvPicPr>
                            <a:picLocks noChangeArrowheads="1" noChangeAspect="1"/>
                          </pic:cNvPicPr>
                        </pic:nvPicPr>
                        <pic:blipFill>
                          <a:blip r:embed="rId83"/>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0" w:name="fig-m3-selectivity"/>
          <w:p>
            <w:pPr>
              <w:pStyle w:val="Compact"/>
              <w:jc w:val="center"/>
            </w:pPr>
            <w:r>
              <w:drawing>
                <wp:inline>
                  <wp:extent cx="5943600" cy="4572000"/>
                  <wp:effectExtent b="0" l="0" r="0" t="0"/>
                  <wp:docPr descr="" title="" id="88" name="Picture"/>
                  <a:graphic>
                    <a:graphicData uri="http://schemas.openxmlformats.org/drawingml/2006/picture">
                      <pic:pic>
                        <pic:nvPicPr>
                          <pic:cNvPr descr="Scenarios/plots_m3/sizeselex_fleet1.png" id="89" name="Picture"/>
                          <pic:cNvPicPr>
                            <a:picLocks noChangeArrowheads="1" noChangeAspect="1"/>
                          </pic:cNvPicPr>
                        </pic:nvPicPr>
                        <pic:blipFill>
                          <a:blip r:embed="rId87"/>
                          <a:stretch>
                            <a:fillRect/>
                          </a:stretch>
                        </pic:blipFill>
                        <pic:spPr bwMode="auto">
                          <a:xfrm>
                            <a:off x="0" y="0"/>
                            <a:ext cx="59436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St. Croix stoplight parrotfish commercial fleet logistic selectivity across model variations (a_m3, b_m3, v1_m3, v3_m3, and v7_m3).</w:t>
            </w:r>
          </w:p>
          <w:bookmarkEnd w:id="90"/>
        </w:tc>
      </w:tr>
    </w:tbl>
    <w:p>
      <w:pPr>
        <w:pStyle w:val="BodyText"/>
      </w:pPr>
      <w:r>
        <w:t xml:space="preserve"> </w:t>
      </w:r>
    </w:p>
    <w:bookmarkStart w:id="99" w:name="fig-m3-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4" w:name="fig-m3-r0"/>
                <w:p>
                  <w:pPr>
                    <w:pStyle w:val="Compact"/>
                    <w:jc w:val="center"/>
                    <w:jc w:val="left"/>
                  </w:pPr>
                  <w:r>
                    <w:drawing>
                      <wp:inline>
                        <wp:extent cx="2971800" cy="2228850"/>
                        <wp:effectExtent b="0" l="0" r="0" t="0"/>
                        <wp:docPr descr="" title="" id="92" name="Picture"/>
                        <a:graphic>
                          <a:graphicData uri="http://schemas.openxmlformats.org/drawingml/2006/picture">
                            <pic:pic>
                              <pic:nvPicPr>
                                <pic:cNvPr descr="Scenarios/plots_m3/compare16_densities_SR_LN(R0).png" id="93" name="Picture"/>
                                <pic:cNvPicPr>
                                  <a:picLocks noChangeArrowheads="1" noChangeAspect="1"/>
                                </pic:cNvPicPr>
                              </pic:nvPicPr>
                              <pic:blipFill>
                                <a:blip r:embed="rId9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8" w:name="fig-m3-ssb-par"/>
                <w:p>
                  <w:pPr>
                    <w:pStyle w:val="Compact"/>
                    <w:jc w:val="center"/>
                    <w:jc w:val="left"/>
                  </w:pPr>
                  <w:r>
                    <w:drawing>
                      <wp:inline>
                        <wp:extent cx="2971800" cy="2228850"/>
                        <wp:effectExtent b="0" l="0" r="0" t="0"/>
                        <wp:docPr descr="" title="" id="96" name="Picture"/>
                        <a:graphic>
                          <a:graphicData uri="http://schemas.openxmlformats.org/drawingml/2006/picture">
                            <pic:pic>
                              <pic:nvPicPr>
                                <pic:cNvPr descr="Scenarios/plots_m3/compare16_densities_SSB_Virgin.png" id="97" name="Picture"/>
                                <pic:cNvPicPr>
                                  <a:picLocks noChangeArrowheads="1" noChangeAspect="1"/>
                                </pic:cNvPicPr>
                              </pic:nvPicPr>
                              <pic:blipFill>
                                <a:blip r:embed="rId9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8"/>
              </w:tc>
            </w:tr>
          </w:tbl>
          <w:p/>
        </w:tc>
      </w:tr>
    </w:tbl>
    <w:p>
      <w:pPr>
        <w:pStyle w:val="BodyText"/>
      </w:pPr>
      <w:pPr>
        <w:spacing w:before="200"/>
        <w:pStyle w:val="ImageCaption"/>
      </w:pPr>
      <w:r>
        <w:t xml:space="preserve">Figure 8.4: St. Croix stoplight parrotfish parameter distribution for (a) the natural log of the unfished recruitment parameter of the Beverton – Holt stock-recruit function and (b) virgin spawning stock biomass in metric tons across model variations (a_m3, b_m3, v1_m3, v3_m3, and v7_m3).</w:t>
      </w:r>
    </w:p>
    <w:bookmarkEnd w:id="99"/>
    <w:p>
      <w:pPr>
        <w:pStyle w:val="BodyText"/>
      </w:pPr>
      <w:r>
        <w:t xml:space="preserve"> </w:t>
      </w:r>
    </w:p>
    <w:bookmarkStart w:id="116" w:name="fig-m3-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3" w:name="fig-m3-ratio"/>
                <w:p>
                  <w:pPr>
                    <w:pStyle w:val="Compact"/>
                    <w:jc w:val="center"/>
                    <w:jc w:val="left"/>
                  </w:pPr>
                  <w:r>
                    <w:drawing>
                      <wp:inline>
                        <wp:extent cx="2971800" cy="2228850"/>
                        <wp:effectExtent b="0" l="0" r="0" t="0"/>
                        <wp:docPr descr="" title="" id="101" name="Picture"/>
                        <a:graphic>
                          <a:graphicData uri="http://schemas.openxmlformats.org/drawingml/2006/picture">
                            <pic:pic>
                              <pic:nvPicPr>
                                <pic:cNvPr descr="Scenarios/plots_m3_plain/compare4_Bratio_uncertainty.png" id="102" name="Picture"/>
                                <pic:cNvPicPr>
                                  <a:picLocks noChangeArrowheads="1" noChangeAspect="1"/>
                                </pic:cNvPicPr>
                              </pic:nvPicPr>
                              <pic:blipFill>
                                <a:blip r:embed="rId10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10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7" w:name="fig-m3-ssb"/>
                <w:p>
                  <w:pPr>
                    <w:pStyle w:val="Compact"/>
                    <w:jc w:val="center"/>
                    <w:jc w:val="left"/>
                  </w:pPr>
                  <w:r>
                    <w:drawing>
                      <wp:inline>
                        <wp:extent cx="2971800" cy="2228850"/>
                        <wp:effectExtent b="0" l="0" r="0" t="0"/>
                        <wp:docPr descr="" title="" id="105" name="Picture"/>
                        <a:graphic>
                          <a:graphicData uri="http://schemas.openxmlformats.org/drawingml/2006/picture">
                            <pic:pic>
                              <pic:nvPicPr>
                                <pic:cNvPr descr="Scenarios/plots_m3_plain/compare2_spawnbio_uncertainty.png" id="106" name="Picture"/>
                                <pic:cNvPicPr>
                                  <a:picLocks noChangeArrowheads="1" noChangeAspect="1"/>
                                </pic:cNvPicPr>
                              </pic:nvPicPr>
                              <pic:blipFill>
                                <a:blip r:embed="rId10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10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1" w:name="fig-m3-f"/>
                <w:p>
                  <w:pPr>
                    <w:pStyle w:val="Compact"/>
                    <w:jc w:val="center"/>
                    <w:jc w:val="left"/>
                  </w:pPr>
                  <w:r>
                    <w:drawing>
                      <wp:inline>
                        <wp:extent cx="2971800" cy="2228850"/>
                        <wp:effectExtent b="0" l="0" r="0" t="0"/>
                        <wp:docPr descr="" title="" id="109" name="Picture"/>
                        <a:graphic>
                          <a:graphicData uri="http://schemas.openxmlformats.org/drawingml/2006/picture">
                            <pic:pic>
                              <pic:nvPicPr>
                                <pic:cNvPr descr="Scenarios/plots_m3/compare8_Fvalue_uncertainty.png" id="110" name="Picture"/>
                                <pic:cNvPicPr>
                                  <a:picLocks noChangeArrowheads="1" noChangeAspect="1"/>
                                </pic:cNvPicPr>
                              </pic:nvPicPr>
                              <pic:blipFill>
                                <a:blip r:embed="rId10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1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5" w:name="fig-m3-recruits"/>
                <w:p>
                  <w:pPr>
                    <w:pStyle w:val="Compact"/>
                    <w:jc w:val="center"/>
                    <w:jc w:val="left"/>
                  </w:pPr>
                  <w:r>
                    <w:drawing>
                      <wp:inline>
                        <wp:extent cx="2971800" cy="2228850"/>
                        <wp:effectExtent b="0" l="0" r="0" t="0"/>
                        <wp:docPr descr="" title="" id="113" name="Picture"/>
                        <a:graphic>
                          <a:graphicData uri="http://schemas.openxmlformats.org/drawingml/2006/picture">
                            <pic:pic>
                              <pic:nvPicPr>
                                <pic:cNvPr descr="Scenarios/plots_m3_plain/compare10_recruits_uncertainty.png" id="114" name="Picture"/>
                                <pic:cNvPicPr>
                                  <a:picLocks noChangeArrowheads="1" noChangeAspect="1"/>
                                </pic:cNvPicPr>
                              </pic:nvPicPr>
                              <pic:blipFill>
                                <a:blip r:embed="rId11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15"/>
              </w:tc>
            </w:tr>
          </w:tbl>
          <w:p/>
        </w:tc>
      </w:tr>
    </w:tbl>
    <w:p>
      <w:pPr>
        <w:pStyle w:val="BodyText"/>
      </w:pPr>
      <w:pPr>
        <w:spacing w:before="200"/>
        <w:pStyle w:val="ImageCaption"/>
      </w:pPr>
      <w:r>
        <w:t xml:space="preserve">Figure 8.5: St. Croix stoplight parrotfish derived quantity time series across model variations (a_m3, b_m3, v1_m3, v3_m3, and v7_m3).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116"/>
    <w:p>
      <w:pPr>
        <w:pStyle w:val="BodyText"/>
      </w:pPr>
      <w:r>
        <w:t xml:space="preserve"> </w:t>
      </w:r>
    </w:p>
    <w:bookmarkStart w:id="132"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a_m3" title="" id="118" name="Picture"/>
                  <a:graphic>
                    <a:graphicData uri="http://schemas.openxmlformats.org/drawingml/2006/picture">
                      <pic:pic>
                        <pic:nvPicPr>
                          <pic:cNvPr descr="Scenarios/84_stx_f3_5cm_010641_0041_a_m3/diagnostics/jitter/Total_Likelihood.png" id="119" name="Picture"/>
                          <pic:cNvPicPr>
                            <a:picLocks noChangeArrowheads="1" noChangeAspect="1"/>
                          </pic:cNvPicPr>
                        </pic:nvPicPr>
                        <pic:blipFill>
                          <a:blip r:embed="rId117"/>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3566160" cy="3566160"/>
                  <wp:effectExtent b="0" l="0" r="0" t="0"/>
                  <wp:docPr descr="Model b_m3" title="" id="121" name="Picture"/>
                  <a:graphic>
                    <a:graphicData uri="http://schemas.openxmlformats.org/drawingml/2006/picture">
                      <pic:pic>
                        <pic:nvPicPr>
                          <pic:cNvPr descr="Scenarios/84_stx_f3_5cm_010641_0041_b_m3/diagnostics/jitter/Total_Likelihood.png" id="122" name="Picture"/>
                          <pic:cNvPicPr>
                            <a:picLocks noChangeArrowheads="1" noChangeAspect="1"/>
                          </pic:cNvPicPr>
                        </pic:nvPicPr>
                        <pic:blipFill>
                          <a:blip r:embed="rId120"/>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v1_m3" title="" id="124" name="Picture"/>
                  <a:graphic>
                    <a:graphicData uri="http://schemas.openxmlformats.org/drawingml/2006/picture">
                      <pic:pic>
                        <pic:nvPicPr>
                          <pic:cNvPr descr="Scenarios/84_stx_f3_5cm_010641_0041_v1_m3/diagnostics/jitter/Total_Likelihood.png" id="125" name="Picture"/>
                          <pic:cNvPicPr>
                            <a:picLocks noChangeArrowheads="1" noChangeAspect="1"/>
                          </pic:cNvPicPr>
                        </pic:nvPicPr>
                        <pic:blipFill>
                          <a:blip r:embed="rId123"/>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3566160" cy="3566160"/>
                  <wp:effectExtent b="0" l="0" r="0" t="0"/>
                  <wp:docPr descr="Model v3_m3" title="" id="127" name="Picture"/>
                  <a:graphic>
                    <a:graphicData uri="http://schemas.openxmlformats.org/drawingml/2006/picture">
                      <pic:pic>
                        <pic:nvPicPr>
                          <pic:cNvPr descr="Scenarios/84_stx_f3_5cm_010641_0041_v3_m3/diagnostics/jitter/Total_Likelihood.png" id="128" name="Picture"/>
                          <pic:cNvPicPr>
                            <a:picLocks noChangeArrowheads="1" noChangeAspect="1"/>
                          </pic:cNvPicPr>
                        </pic:nvPicPr>
                        <pic:blipFill>
                          <a:blip r:embed="rId126"/>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566160" cy="3566160"/>
                  <wp:effectExtent b="0" l="0" r="0" t="0"/>
                  <wp:docPr descr="Model v7_m3" title="" id="130" name="Picture"/>
                  <a:graphic>
                    <a:graphicData uri="http://schemas.openxmlformats.org/drawingml/2006/picture">
                      <pic:pic>
                        <pic:nvPicPr>
                          <pic:cNvPr descr="Scenarios/84_stx_f3_5cm_010641_0041_v7_m3/diagnostics/jitter/Total_Likelihood.png" id="131" name="Picture"/>
                          <pic:cNvPicPr>
                            <a:picLocks noChangeArrowheads="1" noChangeAspect="1"/>
                          </pic:cNvPicPr>
                        </pic:nvPicPr>
                        <pic:blipFill>
                          <a:blip r:embed="rId129"/>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8.6: St. Croix stoplight parrotfish jitter analysis total likelihood across model variations (a_m3, b_m3, v1_m3, v3_m3, and v7_m3). Each panel gives the results of 30 runs of the corresponding model variation where the starting parameter values for each run were randomly changed by 20% from each model’s predicted values using a uniform distribution in cumulative normal space.</w:t>
      </w:r>
    </w:p>
    <w:bookmarkEnd w:id="132"/>
    <w:p>
      <w:pPr>
        <w:pStyle w:val="BodyText"/>
      </w:pPr>
      <w:r>
        <w:t xml:space="preserve"> </w:t>
      </w:r>
    </w:p>
    <w:bookmarkStart w:id="145"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34" name="Picture"/>
                  <a:graphic>
                    <a:graphicData uri="http://schemas.openxmlformats.org/drawingml/2006/picture">
                      <pic:pic>
                        <pic:nvPicPr>
                          <pic:cNvPr descr="Scenarios/84_stx_f3_5cm_010641_0041_a_m3/plots/index2_cpuefit_NCRMP.png" id="135" name="Picture"/>
                          <pic:cNvPicPr>
                            <a:picLocks noChangeArrowheads="1" noChangeAspect="1"/>
                          </pic:cNvPicPr>
                        </pic:nvPicPr>
                        <pic:blipFill>
                          <a:blip r:embed="rId133"/>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37" name="Picture"/>
                  <a:graphic>
                    <a:graphicData uri="http://schemas.openxmlformats.org/drawingml/2006/picture">
                      <pic:pic>
                        <pic:nvPicPr>
                          <pic:cNvPr descr="Scenarios/84_stx_f3_5cm_010641_0041_v1_m3/plots/index2_cpuefit_NCRMP.png" id="138" name="Picture"/>
                          <pic:cNvPicPr>
                            <a:picLocks noChangeArrowheads="1" noChangeAspect="1"/>
                          </pic:cNvPicPr>
                        </pic:nvPicPr>
                        <pic:blipFill>
                          <a:blip r:embed="rId136"/>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40" name="Picture"/>
                  <a:graphic>
                    <a:graphicData uri="http://schemas.openxmlformats.org/drawingml/2006/picture">
                      <pic:pic>
                        <pic:nvPicPr>
                          <pic:cNvPr descr="Scenarios/84_stx_f3_5cm_010641_0041_v3_m3/plots/index2_cpuefit_NCRMP.png" id="141" name="Picture"/>
                          <pic:cNvPicPr>
                            <a:picLocks noChangeArrowheads="1" noChangeAspect="1"/>
                          </pic:cNvPicPr>
                        </pic:nvPicPr>
                        <pic:blipFill>
                          <a:blip r:embed="rId139"/>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43" name="Picture"/>
                  <a:graphic>
                    <a:graphicData uri="http://schemas.openxmlformats.org/drawingml/2006/picture">
                      <pic:pic>
                        <pic:nvPicPr>
                          <pic:cNvPr descr="Scenarios/84_stx_f3_5cm_010641_0041_v7_m3/plots/index2_cpuefit_NCRMP.png" id="144" name="Picture"/>
                          <pic:cNvPicPr>
                            <a:picLocks noChangeArrowheads="1" noChangeAspect="1"/>
                          </pic:cNvPicPr>
                        </pic:nvPicPr>
                        <pic:blipFill>
                          <a:blip r:embed="rId142"/>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8.7: St. Croix stoplight parrotfish National Coral Reef Monitoring Program observed (open circles) and predicted (blue line) indices of relative abundance and associated standard errors across model variations (a_m3, v1_m3, v3_m3, and v7_m3). Model variation b_m3 is not provided as it’s configuration does not include an index. Lines indicate 95% uncertainty interval around observed index values based on the model assumption of lognormal error. Model variation a_m3 and v1_m3 do not estimate recruitment deviations, while model variations v3_m3 and v7_m3 do.</w:t>
      </w:r>
    </w:p>
    <w:bookmarkEnd w:id="145"/>
    <w:p>
      <w:pPr>
        <w:pStyle w:val="BodyText"/>
      </w:pPr>
      <w:r>
        <w:t xml:space="preserve"> </w:t>
      </w:r>
    </w:p>
    <w:bookmarkStart w:id="152"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a_m3 across all years" title="" id="147" name="Picture"/>
                  <a:graphic>
                    <a:graphicData uri="http://schemas.openxmlformats.org/drawingml/2006/picture">
                      <pic:pic>
                        <pic:nvPicPr>
                          <pic:cNvPr descr="Scenarios/84_stx_f3_5cm_010641_0041_a_m3/plots/comp_lenfit__aggregated_across_time.png" id="148" name="Picture"/>
                          <pic:cNvPicPr>
                            <a:picLocks noChangeArrowheads="1" noChangeAspect="1"/>
                          </pic:cNvPicPr>
                        </pic:nvPicPr>
                        <pic:blipFill>
                          <a:blip r:embed="rId14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a_m3 across all years</w:t>
            </w:r>
          </w:p>
        </w:tc>
        <w:tc>
          <w:tcPr/>
          <w:p>
            <w:pPr>
              <w:pStyle w:val="CaptionedFigure"/>
              <w:jc w:val="left"/>
            </w:pPr>
            <w:r>
              <w:drawing>
                <wp:inline>
                  <wp:extent cx="3669832" cy="3669832"/>
                  <wp:effectExtent b="0" l="0" r="0" t="0"/>
                  <wp:docPr descr="v3_m3 across all years" title="" id="150" name="Picture"/>
                  <a:graphic>
                    <a:graphicData uri="http://schemas.openxmlformats.org/drawingml/2006/picture">
                      <pic:pic>
                        <pic:nvPicPr>
                          <pic:cNvPr descr="Scenarios/84_stx_f3_5cm_010641_0041_v3_m3/plots/comp_lenfit__aggregated_across_time.png" id="151" name="Picture"/>
                          <pic:cNvPicPr>
                            <a:picLocks noChangeArrowheads="1" noChangeAspect="1"/>
                          </pic:cNvPicPr>
                        </pic:nvPicPr>
                        <pic:blipFill>
                          <a:blip r:embed="rId14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v3_m3 across all years</w:t>
            </w:r>
          </w:p>
        </w:tc>
      </w:tr>
    </w:tbl>
    <w:p>
      <w:pPr>
        <w:pStyle w:val="BodyText"/>
      </w:pPr>
      <w:pPr>
        <w:spacing w:before="200"/>
        <w:pStyle w:val="ImageCaption"/>
      </w:pPr>
      <w:r>
        <w:t xml:space="preserve">Figure 8.8: St. Croix stoplight parrotfish observed and predicted length distributions in centimeters aggregated across years for the Commercial and NCRMP length compositions for the (a) a_m3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 Since super years are utilized for the commercial fleet and the national coral reef monitoring survey in these model variations, the fits to annual data are not shown.</w:t>
      </w:r>
    </w:p>
    <w:bookmarkEnd w:id="152"/>
    <w:p>
      <w:pPr>
        <w:pStyle w:val="BodyText"/>
      </w:pPr>
      <w:r>
        <w:t xml:space="preserve"> </w:t>
      </w:r>
    </w:p>
    <w:bookmarkStart w:id="161" w:name="fig-lenfit-b"/>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6" w:name="fig-lenfit-b-1"/>
                <w:p>
                  <w:pPr>
                    <w:pStyle w:val="Compact"/>
                    <w:jc w:val="center"/>
                    <w:jc w:val="left"/>
                  </w:pPr>
                  <w:r>
                    <w:drawing>
                      <wp:inline>
                        <wp:extent cx="2971800" cy="2971800"/>
                        <wp:effectExtent b="0" l="0" r="0" t="0"/>
                        <wp:docPr descr="" title="" id="154" name="Picture"/>
                        <a:graphic>
                          <a:graphicData uri="http://schemas.openxmlformats.org/drawingml/2006/picture">
                            <pic:pic>
                              <pic:nvPicPr>
                                <pic:cNvPr descr="Scenarios/84_stx_f3_5cm_010641_0041_b_m3/plots/comp_lenfit__aggregated_across_time.png" id="155" name="Picture"/>
                                <pic:cNvPicPr>
                                  <a:picLocks noChangeArrowheads="1" noChangeAspect="1"/>
                                </pic:cNvPicPr>
                              </pic:nvPicPr>
                              <pic:blipFill>
                                <a:blip r:embed="rId153"/>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b_m3 across all years</w:t>
                  </w:r>
                </w:p>
                <w:bookmarkEnd w:id="15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0" w:name="fig-lenfit-b-2"/>
                <w:p>
                  <w:pPr>
                    <w:pStyle w:val="Compact"/>
                    <w:jc w:val="center"/>
                    <w:jc w:val="left"/>
                  </w:pPr>
                  <w:r>
                    <w:drawing>
                      <wp:inline>
                        <wp:extent cx="2971800" cy="5943600"/>
                        <wp:effectExtent b="0" l="0" r="0" t="0"/>
                        <wp:docPr descr="" title="" id="158" name="Picture"/>
                        <a:graphic>
                          <a:graphicData uri="http://schemas.openxmlformats.org/drawingml/2006/picture">
                            <pic:pic>
                              <pic:nvPicPr>
                                <pic:cNvPr descr="Scenarios/84_stx_f3_5cm_010641_0041_b_m3/plots/comp_lenfit_flt2mkt0_crop.png" id="159" name="Picture"/>
                                <pic:cNvPicPr>
                                  <a:picLocks noChangeArrowheads="1" noChangeAspect="1"/>
                                </pic:cNvPicPr>
                              </pic:nvPicPr>
                              <pic:blipFill>
                                <a:blip r:embed="rId157"/>
                                <a:stretch>
                                  <a:fillRect/>
                                </a:stretch>
                              </pic:blipFill>
                              <pic:spPr bwMode="auto">
                                <a:xfrm>
                                  <a:off x="0" y="0"/>
                                  <a:ext cx="2971800" cy="5943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b_m3 by year</w:t>
                  </w:r>
                </w:p>
                <w:bookmarkEnd w:id="160"/>
              </w:tc>
            </w:tr>
          </w:tbl>
          <w:p/>
        </w:tc>
      </w:tr>
    </w:tbl>
    <w:p>
      <w:pPr>
        <w:pStyle w:val="BodyText"/>
      </w:pPr>
      <w:pPr>
        <w:spacing w:before="200"/>
        <w:pStyle w:val="ImageCaption"/>
      </w:pPr>
      <w:r>
        <w:t xml:space="preserve">Figure 8.9: St. Croix stoplight parrotfish observed and predicted length distributions in centimeters (a) aggregated across years and (b) by year for the Commercial and NCRMP length compositions for the b_m3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61"/>
    <w:p>
      <w:pPr>
        <w:pStyle w:val="BodyText"/>
      </w:pPr>
      <w:r>
        <w:t xml:space="preserve"> </w:t>
      </w:r>
    </w:p>
    <w:bookmarkStart w:id="170" w:name="fig-lenfit-v1"/>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65" w:name="fig-lenfit-v1-1"/>
                <w:p>
                  <w:pPr>
                    <w:pStyle w:val="Compact"/>
                    <w:jc w:val="center"/>
                    <w:jc w:val="left"/>
                  </w:pPr>
                  <w:r>
                    <w:drawing>
                      <wp:inline>
                        <wp:extent cx="2971800" cy="2971800"/>
                        <wp:effectExtent b="0" l="0" r="0" t="0"/>
                        <wp:docPr descr="" title="" id="163" name="Picture"/>
                        <a:graphic>
                          <a:graphicData uri="http://schemas.openxmlformats.org/drawingml/2006/picture">
                            <pic:pic>
                              <pic:nvPicPr>
                                <pic:cNvPr descr="Scenarios/84_stx_f3_5cm_010641_0041_v1_m3/plots/comp_lenfit__aggregated_across_time.png" id="164" name="Picture"/>
                                <pic:cNvPicPr>
                                  <a:picLocks noChangeArrowheads="1" noChangeAspect="1"/>
                                </pic:cNvPicPr>
                              </pic:nvPicPr>
                              <pic:blipFill>
                                <a:blip r:embed="rId16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v1_m3 across all years</w:t>
                  </w:r>
                </w:p>
                <w:bookmarkEnd w:id="16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9" w:name="fig-lenfit-v1-2"/>
                <w:p>
                  <w:pPr>
                    <w:pStyle w:val="Compact"/>
                    <w:jc w:val="center"/>
                    <w:jc w:val="left"/>
                  </w:pPr>
                  <w:r>
                    <w:drawing>
                      <wp:inline>
                        <wp:extent cx="2971800" cy="7291107"/>
                        <wp:effectExtent b="0" l="0" r="0" t="0"/>
                        <wp:docPr descr="" title="" id="167" name="Picture"/>
                        <a:graphic>
                          <a:graphicData uri="http://schemas.openxmlformats.org/drawingml/2006/picture">
                            <pic:pic>
                              <pic:nvPicPr>
                                <pic:cNvPr descr="Scenarios/84_stx_f3_5cm_010641_0041_v1_m3/plots/comp_lenfit_flt2mkt0_crop.png" id="168" name="Picture"/>
                                <pic:cNvPicPr>
                                  <a:picLocks noChangeArrowheads="1" noChangeAspect="1"/>
                                </pic:cNvPicPr>
                              </pic:nvPicPr>
                              <pic:blipFill>
                                <a:blip r:embed="rId166"/>
                                <a:stretch>
                                  <a:fillRect/>
                                </a:stretch>
                              </pic:blipFill>
                              <pic:spPr bwMode="auto">
                                <a:xfrm>
                                  <a:off x="0" y="0"/>
                                  <a:ext cx="2971800" cy="7291107"/>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v1_m3 by year</w:t>
                  </w:r>
                </w:p>
                <w:bookmarkEnd w:id="169"/>
              </w:tc>
            </w:tr>
          </w:tbl>
          <w:p/>
        </w:tc>
      </w:tr>
    </w:tbl>
    <w:p>
      <w:pPr>
        <w:pStyle w:val="BodyText"/>
      </w:pPr>
      <w:pPr>
        <w:spacing w:before="200"/>
        <w:pStyle w:val="ImageCaption"/>
      </w:pPr>
      <w:r>
        <w:t xml:space="preserve">Figure 8.10: St. Croix stoplight parrotfish observed and predicted length distributions in centimeters (a) aggregated across years and (b) by year for the Commercial and NCRMP length compositions for the v1_m3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70"/>
    <w:p>
      <w:pPr>
        <w:pStyle w:val="BodyText"/>
      </w:pPr>
      <w:r>
        <w:t xml:space="preserve"> </w:t>
      </w:r>
    </w:p>
    <w:bookmarkStart w:id="179" w:name="fig-lenfit-v7"/>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74" w:name="fig-lenfit-v7-1"/>
                <w:p>
                  <w:pPr>
                    <w:pStyle w:val="Compact"/>
                    <w:jc w:val="center"/>
                    <w:jc w:val="left"/>
                  </w:pPr>
                  <w:r>
                    <w:drawing>
                      <wp:inline>
                        <wp:extent cx="2971800" cy="2971800"/>
                        <wp:effectExtent b="0" l="0" r="0" t="0"/>
                        <wp:docPr descr="" title="" id="172" name="Picture"/>
                        <a:graphic>
                          <a:graphicData uri="http://schemas.openxmlformats.org/drawingml/2006/picture">
                            <pic:pic>
                              <pic:nvPicPr>
                                <pic:cNvPr descr="Scenarios/84_stx_f3_5cm_010641_0041_v7_m3/plots/comp_lenfit__aggregated_across_time.png" id="173" name="Picture"/>
                                <pic:cNvPicPr>
                                  <a:picLocks noChangeArrowheads="1" noChangeAspect="1"/>
                                </pic:cNvPicPr>
                              </pic:nvPicPr>
                              <pic:blipFill>
                                <a:blip r:embed="rId171"/>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v7_m3 across all years</w:t>
                  </w:r>
                </w:p>
                <w:bookmarkEnd w:id="17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78" w:name="fig-lenfit-v7-2"/>
                <w:p>
                  <w:pPr>
                    <w:pStyle w:val="Compact"/>
                    <w:jc w:val="center"/>
                    <w:jc w:val="left"/>
                  </w:pPr>
                  <w:r>
                    <w:drawing>
                      <wp:inline>
                        <wp:extent cx="2971800" cy="7608112"/>
                        <wp:effectExtent b="0" l="0" r="0" t="0"/>
                        <wp:docPr descr="" title="" id="176" name="Picture"/>
                        <a:graphic>
                          <a:graphicData uri="http://schemas.openxmlformats.org/drawingml/2006/picture">
                            <pic:pic>
                              <pic:nvPicPr>
                                <pic:cNvPr descr="Scenarios/84_stx_f3_5cm_010641_0041_v7_m3/plots/comp_lenfit_flt2mkt0_crop.png" id="177" name="Picture"/>
                                <pic:cNvPicPr>
                                  <a:picLocks noChangeArrowheads="1" noChangeAspect="1"/>
                                </pic:cNvPicPr>
                              </pic:nvPicPr>
                              <pic:blipFill>
                                <a:blip r:embed="rId175"/>
                                <a:stretch>
                                  <a:fillRect/>
                                </a:stretch>
                              </pic:blipFill>
                              <pic:spPr bwMode="auto">
                                <a:xfrm>
                                  <a:off x="0" y="0"/>
                                  <a:ext cx="2971800" cy="76081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v7_m3 by year</w:t>
                  </w:r>
                </w:p>
                <w:bookmarkEnd w:id="178"/>
              </w:tc>
            </w:tr>
          </w:tbl>
          <w:p/>
        </w:tc>
      </w:tr>
    </w:tbl>
    <w:p>
      <w:pPr>
        <w:pStyle w:val="BodyText"/>
      </w:pPr>
      <w:pPr>
        <w:spacing w:before="200"/>
        <w:pStyle w:val="ImageCaption"/>
      </w:pPr>
      <w:r>
        <w:t xml:space="preserve">Figure 8.11: St. Croix stoplight parrotfish observed and predicted length distributions in centimeters (a) aggregated across years and (b) by year for the Commercial and NCRMP length compositions for the v7_m3 model variation. Green lines represent predicted length compositions, while gray regions represent observed length compositions. The effective sample size used to weight the length composition data is provided by N adj (the input sample size), and N eff (the calculated effective sample size), are shown in the upper right corners.</w:t>
      </w:r>
    </w:p>
    <w:bookmarkEnd w:id="179"/>
    <w:p>
      <w:pPr>
        <w:pStyle w:val="BodyText"/>
      </w:pPr>
      <w:r>
        <w:t xml:space="preserve"> </w:t>
      </w:r>
    </w:p>
    <w:bookmarkStart w:id="189" w:name="fig-meanlen"/>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81" name="Picture"/>
                  <a:graphic>
                    <a:graphicData uri="http://schemas.openxmlformats.org/drawingml/2006/picture">
                      <pic:pic>
                        <pic:nvPicPr>
                          <pic:cNvPr descr="Scenarios/84_stx_f3_5cm_010641_0041_b_m3/plots/comp_lenfit_data_weighting_TA1-8_NCRMP.png" id="182" name="Picture"/>
                          <pic:cNvPicPr>
                            <a:picLocks noChangeArrowheads="1" noChangeAspect="1"/>
                          </pic:cNvPicPr>
                        </pic:nvPicPr>
                        <pic:blipFill>
                          <a:blip r:embed="rId18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84" name="Picture"/>
                  <a:graphic>
                    <a:graphicData uri="http://schemas.openxmlformats.org/drawingml/2006/picture">
                      <pic:pic>
                        <pic:nvPicPr>
                          <pic:cNvPr descr="Scenarios/84_stx_f3_5cm_010641_0041_v1_m3/plots/comp_lenfit_data_weighting_TA1-8_NCRMP.png" id="185" name="Picture"/>
                          <pic:cNvPicPr>
                            <a:picLocks noChangeArrowheads="1" noChangeAspect="1"/>
                          </pic:cNvPicPr>
                        </pic:nvPicPr>
                        <pic:blipFill>
                          <a:blip r:embed="rId18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87" name="Picture"/>
                  <a:graphic>
                    <a:graphicData uri="http://schemas.openxmlformats.org/drawingml/2006/picture">
                      <pic:pic>
                        <pic:nvPicPr>
                          <pic:cNvPr descr="Scenarios/84_stx_f3_5cm_010641_0041_v7_m3/plots/comp_lenfit_data_weighting_TA1-8_NCRMP.png" id="188" name="Picture"/>
                          <pic:cNvPicPr>
                            <a:picLocks noChangeArrowheads="1" noChangeAspect="1"/>
                          </pic:cNvPicPr>
                        </pic:nvPicPr>
                        <pic:blipFill>
                          <a:blip r:embed="rId18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8.12: St. Croix stoplight parrotfish observed (open circles) and predicted (blue line) mean length in centimeters by year across model variations that include annual fishery-independent data without recruitment deviations (b_m3, v1_m3) and with recruitment deviations (v7_m3).</w:t>
      </w:r>
    </w:p>
    <w:bookmarkEnd w:id="189"/>
    <w:p>
      <w:pPr>
        <w:pStyle w:val="BodyText"/>
      </w:pPr>
      <w:r>
        <w:t xml:space="preserve"> </w:t>
      </w:r>
    </w:p>
    <w:bookmarkStart w:id="205"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1" name="Picture"/>
                  <a:graphic>
                    <a:graphicData uri="http://schemas.openxmlformats.org/drawingml/2006/picture">
                      <pic:pic>
                        <pic:nvPicPr>
                          <pic:cNvPr descr="Scenarios/84_stx_f3_5cm_010641_0041_a_m3/diagnostics/retro/plots/retro_SSB.png" id="192" name="Picture"/>
                          <pic:cNvPicPr>
                            <a:picLocks noChangeArrowheads="1" noChangeAspect="1"/>
                          </pic:cNvPicPr>
                        </pic:nvPicPr>
                        <pic:blipFill>
                          <a:blip r:embed="rId19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4" name="Picture"/>
                  <a:graphic>
                    <a:graphicData uri="http://schemas.openxmlformats.org/drawingml/2006/picture">
                      <pic:pic>
                        <pic:nvPicPr>
                          <pic:cNvPr descr="Scenarios/84_stx_f3_5cm_010641_0041_b_m3/diagnostics/retro/plots/retro_SSB.png" id="195" name="Picture"/>
                          <pic:cNvPicPr>
                            <a:picLocks noChangeArrowheads="1" noChangeAspect="1"/>
                          </pic:cNvPicPr>
                        </pic:nvPicPr>
                        <pic:blipFill>
                          <a:blip r:embed="rId19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7" name="Picture"/>
                  <a:graphic>
                    <a:graphicData uri="http://schemas.openxmlformats.org/drawingml/2006/picture">
                      <pic:pic>
                        <pic:nvPicPr>
                          <pic:cNvPr descr="Scenarios/84_stx_f3_5cm_010641_0041_v1_m3/diagnostics/retro/plots/retro_SSB.png" id="198" name="Picture"/>
                          <pic:cNvPicPr>
                            <a:picLocks noChangeArrowheads="1" noChangeAspect="1"/>
                          </pic:cNvPicPr>
                        </pic:nvPicPr>
                        <pic:blipFill>
                          <a:blip r:embed="rId19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00" name="Picture"/>
                  <a:graphic>
                    <a:graphicData uri="http://schemas.openxmlformats.org/drawingml/2006/picture">
                      <pic:pic>
                        <pic:nvPicPr>
                          <pic:cNvPr descr="Scenarios/84_stx_f3_5cm_010641_0041_v3_m3/diagnostics/retro/plots/retro_SSB.png" id="201" name="Picture"/>
                          <pic:cNvPicPr>
                            <a:picLocks noChangeArrowheads="1" noChangeAspect="1"/>
                          </pic:cNvPicPr>
                        </pic:nvPicPr>
                        <pic:blipFill>
                          <a:blip r:embed="rId19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3" name="Picture"/>
                  <a:graphic>
                    <a:graphicData uri="http://schemas.openxmlformats.org/drawingml/2006/picture">
                      <pic:pic>
                        <pic:nvPicPr>
                          <pic:cNvPr descr="Scenarios/84_stx_f3_5cm_010641_0041_v7_m3/diagnostics/retro/plots/retro_SSB.png" id="204" name="Picture"/>
                          <pic:cNvPicPr>
                            <a:picLocks noChangeArrowheads="1" noChangeAspect="1"/>
                          </pic:cNvPicPr>
                        </pic:nvPicPr>
                        <pic:blipFill>
                          <a:blip r:embed="rId20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8.13: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205"/>
    <w:p>
      <w:pPr>
        <w:pStyle w:val="BodyText"/>
      </w:pPr>
      <w:r>
        <w:t xml:space="preserve"> </w:t>
      </w:r>
    </w:p>
    <w:bookmarkStart w:id="221"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7" name="Picture"/>
                  <a:graphic>
                    <a:graphicData uri="http://schemas.openxmlformats.org/drawingml/2006/picture">
                      <pic:pic>
                        <pic:nvPicPr>
                          <pic:cNvPr descr="Scenarios/84_stx_f3_5cm_010641_0041_a_m3/diagnostics/profile_r0/profile_plot_likelihood.png" id="208" name="Picture"/>
                          <pic:cNvPicPr>
                            <a:picLocks noChangeArrowheads="1" noChangeAspect="1"/>
                          </pic:cNvPicPr>
                        </pic:nvPicPr>
                        <pic:blipFill>
                          <a:blip r:embed="rId20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10" name="Picture"/>
                  <a:graphic>
                    <a:graphicData uri="http://schemas.openxmlformats.org/drawingml/2006/picture">
                      <pic:pic>
                        <pic:nvPicPr>
                          <pic:cNvPr descr="Scenarios/84_stx_f3_5cm_010641_0041_b_m3/diagnostics/profile_r0/profile_plot_likelihood.png" id="211" name="Picture"/>
                          <pic:cNvPicPr>
                            <a:picLocks noChangeArrowheads="1" noChangeAspect="1"/>
                          </pic:cNvPicPr>
                        </pic:nvPicPr>
                        <pic:blipFill>
                          <a:blip r:embed="rId20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3" name="Picture"/>
                  <a:graphic>
                    <a:graphicData uri="http://schemas.openxmlformats.org/drawingml/2006/picture">
                      <pic:pic>
                        <pic:nvPicPr>
                          <pic:cNvPr descr="Scenarios/84_stx_f3_5cm_010641_0041_v1_m3/diagnostics/profile_r0/profile_plot_likelihood.png" id="214" name="Picture"/>
                          <pic:cNvPicPr>
                            <a:picLocks noChangeArrowheads="1" noChangeAspect="1"/>
                          </pic:cNvPicPr>
                        </pic:nvPicPr>
                        <pic:blipFill>
                          <a:blip r:embed="rId21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6" name="Picture"/>
                  <a:graphic>
                    <a:graphicData uri="http://schemas.openxmlformats.org/drawingml/2006/picture">
                      <pic:pic>
                        <pic:nvPicPr>
                          <pic:cNvPr descr="Scenarios/84_stx_f3_5cm_010641_0041_v3_m3/diagnostics/profile_r0/profile_plot_likelihood.png" id="217" name="Picture"/>
                          <pic:cNvPicPr>
                            <a:picLocks noChangeArrowheads="1" noChangeAspect="1"/>
                          </pic:cNvPicPr>
                        </pic:nvPicPr>
                        <pic:blipFill>
                          <a:blip r:embed="rId21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9" name="Picture"/>
                  <a:graphic>
                    <a:graphicData uri="http://schemas.openxmlformats.org/drawingml/2006/picture">
                      <pic:pic>
                        <pic:nvPicPr>
                          <pic:cNvPr descr="Scenarios/84_stx_f3_5cm_010641_0041_v7_m3/diagnostics/profile_r0/profile_plot_likelihood.png" id="220" name="Picture"/>
                          <pic:cNvPicPr>
                            <a:picLocks noChangeArrowheads="1" noChangeAspect="1"/>
                          </pic:cNvPicPr>
                        </pic:nvPicPr>
                        <pic:blipFill>
                          <a:blip r:embed="rId21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8.14: The profile likelihood for the natural log of the unfished recruitment parameter of the Beverton – Holt stock-recruit function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21"/>
    <w:p>
      <w:pPr>
        <w:pStyle w:val="BodyText"/>
      </w:pPr>
      <w:r>
        <w:t xml:space="preserve"> </w:t>
      </w:r>
    </w:p>
    <w:bookmarkStart w:id="237"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3" name="Picture"/>
                  <a:graphic>
                    <a:graphicData uri="http://schemas.openxmlformats.org/drawingml/2006/picture">
                      <pic:pic>
                        <pic:nvPicPr>
                          <pic:cNvPr descr="Scenarios/84_stx_f3_5cm_010641_0041_a_m3/diagnostics/profile_r0/plots/profile_msyspr.png" id="224" name="Picture"/>
                          <pic:cNvPicPr>
                            <a:picLocks noChangeArrowheads="1" noChangeAspect="1"/>
                          </pic:cNvPicPr>
                        </pic:nvPicPr>
                        <pic:blipFill>
                          <a:blip r:embed="rId22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6" name="Picture"/>
                  <a:graphic>
                    <a:graphicData uri="http://schemas.openxmlformats.org/drawingml/2006/picture">
                      <pic:pic>
                        <pic:nvPicPr>
                          <pic:cNvPr descr="Scenarios/84_stx_f3_5cm_010641_0041_b_m3/diagnostics/profile_r0/plots/profile_msyspr.png" id="227" name="Picture"/>
                          <pic:cNvPicPr>
                            <a:picLocks noChangeArrowheads="1" noChangeAspect="1"/>
                          </pic:cNvPicPr>
                        </pic:nvPicPr>
                        <pic:blipFill>
                          <a:blip r:embed="rId22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9" name="Picture"/>
                  <a:graphic>
                    <a:graphicData uri="http://schemas.openxmlformats.org/drawingml/2006/picture">
                      <pic:pic>
                        <pic:nvPicPr>
                          <pic:cNvPr descr="Scenarios/84_stx_f3_5cm_010641_0041_v1_m3/diagnostics/profile_r0/plots/profile_msyspr.png" id="230" name="Picture"/>
                          <pic:cNvPicPr>
                            <a:picLocks noChangeArrowheads="1" noChangeAspect="1"/>
                          </pic:cNvPicPr>
                        </pic:nvPicPr>
                        <pic:blipFill>
                          <a:blip r:embed="rId22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2" name="Picture"/>
                  <a:graphic>
                    <a:graphicData uri="http://schemas.openxmlformats.org/drawingml/2006/picture">
                      <pic:pic>
                        <pic:nvPicPr>
                          <pic:cNvPr descr="Scenarios/84_stx_f3_5cm_010641_0041_v3_m3/diagnostics/profile_r0/plots/profile_msyspr.png" id="233" name="Picture"/>
                          <pic:cNvPicPr>
                            <a:picLocks noChangeArrowheads="1" noChangeAspect="1"/>
                          </pic:cNvPicPr>
                        </pic:nvPicPr>
                        <pic:blipFill>
                          <a:blip r:embed="rId23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5" name="Picture"/>
                  <a:graphic>
                    <a:graphicData uri="http://schemas.openxmlformats.org/drawingml/2006/picture">
                      <pic:pic>
                        <pic:nvPicPr>
                          <pic:cNvPr descr="Scenarios/84_stx_f3_5cm_010641_0041_v7_m3/diagnostics/profile_r0/plots/profile_msyspr.png" id="236" name="Picture"/>
                          <pic:cNvPicPr>
                            <a:picLocks noChangeArrowheads="1" noChangeAspect="1"/>
                          </pic:cNvPicPr>
                        </pic:nvPicPr>
                        <pic:blipFill>
                          <a:blip r:embed="rId23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8.15: Estimates of the MSY proxy (based on SPR 40%) across the range of unfished recruitment values explored in the St. Croix stoplight parrotfish likelihood profile. These estimates, expressed in metric tons, are shown for model variations a_m3, b_m3, v1_m3, v3_m3, and v7_m3.</w:t>
      </w:r>
    </w:p>
    <w:bookmarkEnd w:id="237"/>
    <w:p>
      <w:pPr>
        <w:pStyle w:val="BodyText"/>
      </w:pPr>
      <w:r>
        <w:t xml:space="preserve"> </w:t>
      </w:r>
    </w:p>
    <w:bookmarkStart w:id="253"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9" name="Picture"/>
                  <a:graphic>
                    <a:graphicData uri="http://schemas.openxmlformats.org/drawingml/2006/picture">
                      <pic:pic>
                        <pic:nvPicPr>
                          <pic:cNvPr descr="Scenarios/84_stx_f3_5cm_010641_0041_a_m3/diagnostics/profile_eqcatch/profile_plot_likelihood.png" id="240" name="Picture"/>
                          <pic:cNvPicPr>
                            <a:picLocks noChangeArrowheads="1" noChangeAspect="1"/>
                          </pic:cNvPicPr>
                        </pic:nvPicPr>
                        <pic:blipFill>
                          <a:blip r:embed="rId23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2" name="Picture"/>
                  <a:graphic>
                    <a:graphicData uri="http://schemas.openxmlformats.org/drawingml/2006/picture">
                      <pic:pic>
                        <pic:nvPicPr>
                          <pic:cNvPr descr="Scenarios/84_stx_f3_5cm_010641_0041_b_m3/diagnostics/profile_eqcatch/profile_plot_likelihood.png" id="243" name="Picture"/>
                          <pic:cNvPicPr>
                            <a:picLocks noChangeArrowheads="1" noChangeAspect="1"/>
                          </pic:cNvPicPr>
                        </pic:nvPicPr>
                        <pic:blipFill>
                          <a:blip r:embed="rId24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5" name="Picture"/>
                  <a:graphic>
                    <a:graphicData uri="http://schemas.openxmlformats.org/drawingml/2006/picture">
                      <pic:pic>
                        <pic:nvPicPr>
                          <pic:cNvPr descr="Scenarios/84_stx_f3_5cm_010641_0041_v1_m3/diagnostics/profile_eqcatch/profile_plot_likelihood.png" id="246" name="Picture"/>
                          <pic:cNvPicPr>
                            <a:picLocks noChangeArrowheads="1" noChangeAspect="1"/>
                          </pic:cNvPicPr>
                        </pic:nvPicPr>
                        <pic:blipFill>
                          <a:blip r:embed="rId24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8" name="Picture"/>
                  <a:graphic>
                    <a:graphicData uri="http://schemas.openxmlformats.org/drawingml/2006/picture">
                      <pic:pic>
                        <pic:nvPicPr>
                          <pic:cNvPr descr="Scenarios/84_stx_f3_5cm_010641_0041_v3_m3/diagnostics/profile_eqcatch/profile_plot_likelihood.png" id="249" name="Picture"/>
                          <pic:cNvPicPr>
                            <a:picLocks noChangeArrowheads="1" noChangeAspect="1"/>
                          </pic:cNvPicPr>
                        </pic:nvPicPr>
                        <pic:blipFill>
                          <a:blip r:embed="rId24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1" name="Picture"/>
                  <a:graphic>
                    <a:graphicData uri="http://schemas.openxmlformats.org/drawingml/2006/picture">
                      <pic:pic>
                        <pic:nvPicPr>
                          <pic:cNvPr descr="Scenarios/84_stx_f3_5cm_010641_0041_v7_m3/diagnostics/profile_eqcatch/profile_plot_likelihood.png" id="252" name="Picture"/>
                          <pic:cNvPicPr>
                            <a:picLocks noChangeArrowheads="1" noChangeAspect="1"/>
                          </pic:cNvPicPr>
                        </pic:nvPicPr>
                        <pic:blipFill>
                          <a:blip r:embed="rId25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8.16: The profile likelihood for the fixed initial equilibrium catch for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53"/>
    <w:p>
      <w:pPr>
        <w:pStyle w:val="BodyText"/>
      </w:pPr>
      <w:r>
        <w:t xml:space="preserve"> </w:t>
      </w:r>
    </w:p>
    <w:bookmarkStart w:id="269"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5" name="Picture"/>
                  <a:graphic>
                    <a:graphicData uri="http://schemas.openxmlformats.org/drawingml/2006/picture">
                      <pic:pic>
                        <pic:nvPicPr>
                          <pic:cNvPr descr="Scenarios/84_stx_f3_5cm_010641_0041_a_m3/diagnostics/profile_eqcatch/plots/profile_msyspr.png" id="256" name="Picture"/>
                          <pic:cNvPicPr>
                            <a:picLocks noChangeArrowheads="1" noChangeAspect="1"/>
                          </pic:cNvPicPr>
                        </pic:nvPicPr>
                        <pic:blipFill>
                          <a:blip r:embed="rId25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8" name="Picture"/>
                  <a:graphic>
                    <a:graphicData uri="http://schemas.openxmlformats.org/drawingml/2006/picture">
                      <pic:pic>
                        <pic:nvPicPr>
                          <pic:cNvPr descr="Scenarios/84_stx_f3_5cm_010641_0041_b_m3/diagnostics/profile_eqcatch/plots/profile_msyspr.png" id="259" name="Picture"/>
                          <pic:cNvPicPr>
                            <a:picLocks noChangeArrowheads="1" noChangeAspect="1"/>
                          </pic:cNvPicPr>
                        </pic:nvPicPr>
                        <pic:blipFill>
                          <a:blip r:embed="rId25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1" name="Picture"/>
                  <a:graphic>
                    <a:graphicData uri="http://schemas.openxmlformats.org/drawingml/2006/picture">
                      <pic:pic>
                        <pic:nvPicPr>
                          <pic:cNvPr descr="Scenarios/84_stx_f3_5cm_010641_0041_v1_m3/diagnostics/profile_eqcatch/plots/profile_msyspr.png" id="262" name="Picture"/>
                          <pic:cNvPicPr>
                            <a:picLocks noChangeArrowheads="1" noChangeAspect="1"/>
                          </pic:cNvPicPr>
                        </pic:nvPicPr>
                        <pic:blipFill>
                          <a:blip r:embed="rId26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4" name="Picture"/>
                  <a:graphic>
                    <a:graphicData uri="http://schemas.openxmlformats.org/drawingml/2006/picture">
                      <pic:pic>
                        <pic:nvPicPr>
                          <pic:cNvPr descr="Scenarios/84_stx_f3_5cm_010641_0041_v3_m3/diagnostics/profile_eqcatch/plots/profile_msyspr.png" id="265" name="Picture"/>
                          <pic:cNvPicPr>
                            <a:picLocks noChangeArrowheads="1" noChangeAspect="1"/>
                          </pic:cNvPicPr>
                        </pic:nvPicPr>
                        <pic:blipFill>
                          <a:blip r:embed="rId26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7" name="Picture"/>
                  <a:graphic>
                    <a:graphicData uri="http://schemas.openxmlformats.org/drawingml/2006/picture">
                      <pic:pic>
                        <pic:nvPicPr>
                          <pic:cNvPr descr="Scenarios/84_stx_f3_5cm_010641_0041_v7_m3/diagnostics/profile_eqcatch/plots/profile_msyspr.png" id="268" name="Picture"/>
                          <pic:cNvPicPr>
                            <a:picLocks noChangeArrowheads="1" noChangeAspect="1"/>
                          </pic:cNvPicPr>
                        </pic:nvPicPr>
                        <pic:blipFill>
                          <a:blip r:embed="rId26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8.17: Estimates of the MSY proxy (based on SPR 40%) across the range of initial equilibrium catch values explored in the St. Croix stoplight parrotfish likelihood profile. These estimates, expressed in metric tons, are shown for model variations a_m3, b_m3, v1_m3, v3_m3, and v7_m3.</w:t>
      </w:r>
    </w:p>
    <w:bookmarkEnd w:id="269"/>
    <w:p>
      <w:pPr>
        <w:pStyle w:val="BodyText"/>
      </w:pPr>
      <w:r>
        <w:t xml:space="preserve"> </w:t>
      </w:r>
    </w:p>
    <w:bookmarkStart w:id="285"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1" name="Picture"/>
                  <a:graphic>
                    <a:graphicData uri="http://schemas.openxmlformats.org/drawingml/2006/picture">
                      <pic:pic>
                        <pic:nvPicPr>
                          <pic:cNvPr descr="Scenarios/84_stx_f3_5cm_010641_0041_a_m3/diagnostics/profile_k/profile_plot_likelihood.png" id="272" name="Picture"/>
                          <pic:cNvPicPr>
                            <a:picLocks noChangeArrowheads="1" noChangeAspect="1"/>
                          </pic:cNvPicPr>
                        </pic:nvPicPr>
                        <pic:blipFill>
                          <a:blip r:embed="rId27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4" name="Picture"/>
                  <a:graphic>
                    <a:graphicData uri="http://schemas.openxmlformats.org/drawingml/2006/picture">
                      <pic:pic>
                        <pic:nvPicPr>
                          <pic:cNvPr descr="Scenarios/84_stx_f3_5cm_010641_0041_b_m3/diagnostics/profile_k/profile_plot_likelihood.png" id="275" name="Picture"/>
                          <pic:cNvPicPr>
                            <a:picLocks noChangeArrowheads="1" noChangeAspect="1"/>
                          </pic:cNvPicPr>
                        </pic:nvPicPr>
                        <pic:blipFill>
                          <a:blip r:embed="rId2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7" name="Picture"/>
                  <a:graphic>
                    <a:graphicData uri="http://schemas.openxmlformats.org/drawingml/2006/picture">
                      <pic:pic>
                        <pic:nvPicPr>
                          <pic:cNvPr descr="Scenarios/84_stx_f3_5cm_010641_0041_v1_m3/diagnostics/profile_k/profile_plot_likelihood.png" id="278" name="Picture"/>
                          <pic:cNvPicPr>
                            <a:picLocks noChangeArrowheads="1" noChangeAspect="1"/>
                          </pic:cNvPicPr>
                        </pic:nvPicPr>
                        <pic:blipFill>
                          <a:blip r:embed="rId2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80" name="Picture"/>
                  <a:graphic>
                    <a:graphicData uri="http://schemas.openxmlformats.org/drawingml/2006/picture">
                      <pic:pic>
                        <pic:nvPicPr>
                          <pic:cNvPr descr="Scenarios/84_stx_f3_5cm_010641_0041_v3_m3/diagnostics/profile_k/profile_plot_likelihood.png" id="281" name="Picture"/>
                          <pic:cNvPicPr>
                            <a:picLocks noChangeArrowheads="1" noChangeAspect="1"/>
                          </pic:cNvPicPr>
                        </pic:nvPicPr>
                        <pic:blipFill>
                          <a:blip r:embed="rId2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3" name="Picture"/>
                  <a:graphic>
                    <a:graphicData uri="http://schemas.openxmlformats.org/drawingml/2006/picture">
                      <pic:pic>
                        <pic:nvPicPr>
                          <pic:cNvPr descr="Scenarios/84_stx_f3_5cm_010641_0041_v7_m3/diagnostics/profile_k/profile_plot_likelihood.png" id="284" name="Picture"/>
                          <pic:cNvPicPr>
                            <a:picLocks noChangeArrowheads="1" noChangeAspect="1"/>
                          </pic:cNvPicPr>
                        </pic:nvPicPr>
                        <pic:blipFill>
                          <a:blip r:embed="rId2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8.18: The profile likelihood for the steepness parameter of the Beverton – Holt stock-recruit function for St. Croix stoplight parrotfish across model variations (a_m3, b_m3, v1_m3, v3_m3, and v7_m3). Each line represents the change in negative log-likelihood value for each of the data sources fit in the model across the range of fixed steepness values tested in the profile diagnostic run.</w:t>
      </w:r>
    </w:p>
    <w:bookmarkEnd w:id="285"/>
    <w:p>
      <w:pPr>
        <w:pStyle w:val="BodyText"/>
      </w:pPr>
      <w:r>
        <w:t xml:space="preserve"> </w:t>
      </w:r>
    </w:p>
    <w:bookmarkStart w:id="301"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87" name="Picture"/>
                  <a:graphic>
                    <a:graphicData uri="http://schemas.openxmlformats.org/drawingml/2006/picture">
                      <pic:pic>
                        <pic:nvPicPr>
                          <pic:cNvPr descr="Scenarios/84_stx_f3_5cm_010641_0041_a_m3/diagnostics/profile_k/plots/profile_msyspr.png" id="288" name="Picture"/>
                          <pic:cNvPicPr>
                            <a:picLocks noChangeArrowheads="1" noChangeAspect="1"/>
                          </pic:cNvPicPr>
                        </pic:nvPicPr>
                        <pic:blipFill>
                          <a:blip r:embed="rId28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90" name="Picture"/>
                  <a:graphic>
                    <a:graphicData uri="http://schemas.openxmlformats.org/drawingml/2006/picture">
                      <pic:pic>
                        <pic:nvPicPr>
                          <pic:cNvPr descr="Scenarios/84_stx_f3_5cm_010641_0041_b_m3/diagnostics/profile_k/plots/profile_msyspr.png" id="291" name="Picture"/>
                          <pic:cNvPicPr>
                            <a:picLocks noChangeArrowheads="1" noChangeAspect="1"/>
                          </pic:cNvPicPr>
                        </pic:nvPicPr>
                        <pic:blipFill>
                          <a:blip r:embed="rId2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93" name="Picture"/>
                  <a:graphic>
                    <a:graphicData uri="http://schemas.openxmlformats.org/drawingml/2006/picture">
                      <pic:pic>
                        <pic:nvPicPr>
                          <pic:cNvPr descr="Scenarios/84_stx_f3_5cm_010641_0041_v1_m3/diagnostics/profile_k/plots/profile_msyspr.png" id="294" name="Picture"/>
                          <pic:cNvPicPr>
                            <a:picLocks noChangeArrowheads="1" noChangeAspect="1"/>
                          </pic:cNvPicPr>
                        </pic:nvPicPr>
                        <pic:blipFill>
                          <a:blip r:embed="rId2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96" name="Picture"/>
                  <a:graphic>
                    <a:graphicData uri="http://schemas.openxmlformats.org/drawingml/2006/picture">
                      <pic:pic>
                        <pic:nvPicPr>
                          <pic:cNvPr descr="Scenarios/84_stx_f3_5cm_010641_0041_v3_m3/diagnostics/profile_k/plots/profile_msyspr.png" id="297" name="Picture"/>
                          <pic:cNvPicPr>
                            <a:picLocks noChangeArrowheads="1" noChangeAspect="1"/>
                          </pic:cNvPicPr>
                        </pic:nvPicPr>
                        <pic:blipFill>
                          <a:blip r:embed="rId2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99" name="Picture"/>
                  <a:graphic>
                    <a:graphicData uri="http://schemas.openxmlformats.org/drawingml/2006/picture">
                      <pic:pic>
                        <pic:nvPicPr>
                          <pic:cNvPr descr="Scenarios/84_stx_f3_5cm_010641_0041_v7_m3/diagnostics/profile_k/plots/profile_msyspr.png" id="300" name="Picture"/>
                          <pic:cNvPicPr>
                            <a:picLocks noChangeArrowheads="1" noChangeAspect="1"/>
                          </pic:cNvPicPr>
                        </pic:nvPicPr>
                        <pic:blipFill>
                          <a:blip r:embed="rId29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8.19: Estimates of the MSY proxy (based on SPR 40%) across the range of steepness values explored in the St. Croix stoplight parrotfish likelihood profile. These estimates, expressed in metric tons, are shown for model variations a_m3, b_m3, v1_m3, v3_m3, and v7_m3.</w:t>
      </w:r>
    </w:p>
    <w:bookmarkEnd w:id="301"/>
    <w:p>
      <w:pPr>
        <w:pStyle w:val="BodyText"/>
      </w:pPr>
      <w:r>
        <w:t xml:space="preserve"> </w:t>
      </w:r>
    </w:p>
    <w:bookmarkStart w:id="310" w:name="fig-s4-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05" w:name="fig-s4-r0"/>
                <w:p>
                  <w:pPr>
                    <w:pStyle w:val="Compact"/>
                    <w:jc w:val="center"/>
                    <w:jc w:val="left"/>
                  </w:pPr>
                  <w:r>
                    <w:drawing>
                      <wp:inline>
                        <wp:extent cx="2971800" cy="2228850"/>
                        <wp:effectExtent b="0" l="0" r="0" t="0"/>
                        <wp:docPr descr="" title="" id="303" name="Picture"/>
                        <a:graphic>
                          <a:graphicData uri="http://schemas.openxmlformats.org/drawingml/2006/picture">
                            <pic:pic>
                              <pic:nvPicPr>
                                <pic:cNvPr descr="Scenarios/plots_s4/compare16_densities_SR_LN(R0).png" id="304" name="Picture"/>
                                <pic:cNvPicPr>
                                  <a:picLocks noChangeArrowheads="1" noChangeAspect="1"/>
                                </pic:cNvPicPr>
                              </pic:nvPicPr>
                              <pic:blipFill>
                                <a:blip r:embed="rId30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30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9" w:name="fig-s4-ssb-par"/>
                <w:p>
                  <w:pPr>
                    <w:pStyle w:val="Compact"/>
                    <w:jc w:val="center"/>
                    <w:jc w:val="left"/>
                  </w:pPr>
                  <w:r>
                    <w:drawing>
                      <wp:inline>
                        <wp:extent cx="2971800" cy="2228850"/>
                        <wp:effectExtent b="0" l="0" r="0" t="0"/>
                        <wp:docPr descr="" title="" id="307" name="Picture"/>
                        <a:graphic>
                          <a:graphicData uri="http://schemas.openxmlformats.org/drawingml/2006/picture">
                            <pic:pic>
                              <pic:nvPicPr>
                                <pic:cNvPr descr="Scenarios/plots_s4/compare16_densities_SSB_Virgin.png" id="308" name="Picture"/>
                                <pic:cNvPicPr>
                                  <a:picLocks noChangeArrowheads="1" noChangeAspect="1"/>
                                </pic:cNvPicPr>
                              </pic:nvPicPr>
                              <pic:blipFill>
                                <a:blip r:embed="rId30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309"/>
              </w:tc>
            </w:tr>
          </w:tbl>
          <w:p/>
        </w:tc>
      </w:tr>
    </w:tbl>
    <w:p>
      <w:pPr>
        <w:pStyle w:val="BodyText"/>
      </w:pPr>
      <w:pPr>
        <w:spacing w:before="200"/>
        <w:pStyle w:val="ImageCaption"/>
      </w:pPr>
      <w:r>
        <w:t xml:space="preserve">Figure 8.20: St. Croix stoplight parrotfish parameter distribution for (a) the natural log of the unfished recruitment parameter of the Beverton – Holt stock-recruit function and (b) virgin spawning stock biomass in metric tons across model variations (a_m3_s4, b_m3_s4, v1_m3_s4, v3_m3_s4, and v7_m3_s4).</w:t>
      </w:r>
    </w:p>
    <w:bookmarkEnd w:id="310"/>
    <w:p>
      <w:pPr>
        <w:pStyle w:val="BodyText"/>
      </w:pPr>
      <w:r>
        <w:t xml:space="preserve"> </w:t>
      </w:r>
    </w:p>
    <w:bookmarkStart w:id="327" w:name="fig-s4-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14" w:name="fig-s4-ratio"/>
                <w:p>
                  <w:pPr>
                    <w:pStyle w:val="Compact"/>
                    <w:jc w:val="center"/>
                    <w:jc w:val="left"/>
                  </w:pPr>
                  <w:r>
                    <w:drawing>
                      <wp:inline>
                        <wp:extent cx="2971800" cy="2228850"/>
                        <wp:effectExtent b="0" l="0" r="0" t="0"/>
                        <wp:docPr descr="" title="" id="312" name="Picture"/>
                        <a:graphic>
                          <a:graphicData uri="http://schemas.openxmlformats.org/drawingml/2006/picture">
                            <pic:pic>
                              <pic:nvPicPr>
                                <pic:cNvPr descr="Scenarios/plots_s4_plain/compare4_Bratio_uncertainty.png" id="313" name="Picture"/>
                                <pic:cNvPicPr>
                                  <a:picLocks noChangeArrowheads="1" noChangeAspect="1"/>
                                </pic:cNvPicPr>
                              </pic:nvPicPr>
                              <pic:blipFill>
                                <a:blip r:embed="rId31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1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18" w:name="fig-s4-ssb"/>
                <w:p>
                  <w:pPr>
                    <w:pStyle w:val="Compact"/>
                    <w:jc w:val="center"/>
                    <w:jc w:val="left"/>
                  </w:pPr>
                  <w:r>
                    <w:drawing>
                      <wp:inline>
                        <wp:extent cx="2971800" cy="2228850"/>
                        <wp:effectExtent b="0" l="0" r="0" t="0"/>
                        <wp:docPr descr="" title="" id="316" name="Picture"/>
                        <a:graphic>
                          <a:graphicData uri="http://schemas.openxmlformats.org/drawingml/2006/picture">
                            <pic:pic>
                              <pic:nvPicPr>
                                <pic:cNvPr descr="Scenarios/plots_s4_plain/compare2_spawnbio_uncertainty.png" id="317" name="Picture"/>
                                <pic:cNvPicPr>
                                  <a:picLocks noChangeArrowheads="1" noChangeAspect="1"/>
                                </pic:cNvPicPr>
                              </pic:nvPicPr>
                              <pic:blipFill>
                                <a:blip r:embed="rId31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1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22" w:name="fig-s4-f"/>
                <w:p>
                  <w:pPr>
                    <w:pStyle w:val="Compact"/>
                    <w:jc w:val="center"/>
                    <w:jc w:val="left"/>
                  </w:pPr>
                  <w:r>
                    <w:drawing>
                      <wp:inline>
                        <wp:extent cx="2971800" cy="2228850"/>
                        <wp:effectExtent b="0" l="0" r="0" t="0"/>
                        <wp:docPr descr="" title="" id="320" name="Picture"/>
                        <a:graphic>
                          <a:graphicData uri="http://schemas.openxmlformats.org/drawingml/2006/picture">
                            <pic:pic>
                              <pic:nvPicPr>
                                <pic:cNvPr descr="Scenarios/plots_s4/compare8_Fvalue_uncertainty.png" id="321" name="Picture"/>
                                <pic:cNvPicPr>
                                  <a:picLocks noChangeArrowheads="1" noChangeAspect="1"/>
                                </pic:cNvPicPr>
                              </pic:nvPicPr>
                              <pic:blipFill>
                                <a:blip r:embed="rId31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2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26" w:name="fig-s4-recruits"/>
                <w:p>
                  <w:pPr>
                    <w:pStyle w:val="Compact"/>
                    <w:jc w:val="center"/>
                    <w:jc w:val="left"/>
                  </w:pPr>
                  <w:r>
                    <w:drawing>
                      <wp:inline>
                        <wp:extent cx="2971800" cy="2228850"/>
                        <wp:effectExtent b="0" l="0" r="0" t="0"/>
                        <wp:docPr descr="" title="" id="324" name="Picture"/>
                        <a:graphic>
                          <a:graphicData uri="http://schemas.openxmlformats.org/drawingml/2006/picture">
                            <pic:pic>
                              <pic:nvPicPr>
                                <pic:cNvPr descr="Scenarios/plots_s4_plain/compare10_recruits_uncertainty.png" id="325" name="Picture"/>
                                <pic:cNvPicPr>
                                  <a:picLocks noChangeArrowheads="1" noChangeAspect="1"/>
                                </pic:cNvPicPr>
                              </pic:nvPicPr>
                              <pic:blipFill>
                                <a:blip r:embed="rId32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26"/>
              </w:tc>
            </w:tr>
          </w:tbl>
          <w:p/>
        </w:tc>
      </w:tr>
    </w:tbl>
    <w:p>
      <w:pPr>
        <w:pStyle w:val="BodyText"/>
      </w:pPr>
      <w:pPr>
        <w:spacing w:before="200"/>
        <w:pStyle w:val="ImageCaption"/>
      </w:pPr>
      <w:r>
        <w:t xml:space="preserve">Figure 8.21: St. Croix stoplight parrotfish derived quantity time series across model variations (a_m3_s5, b_m3_s5, v1_m3_s5, v3_m3_s5, and v7_m3_s5).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327"/>
    <w:p>
      <w:pPr>
        <w:pStyle w:val="BodyText"/>
      </w:pPr>
      <w:r>
        <w:t xml:space="preserve"> </w:t>
      </w:r>
    </w:p>
    <w:bookmarkStart w:id="336" w:name="fig-s5-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31" w:name="fig-s5-r0"/>
                <w:p>
                  <w:pPr>
                    <w:pStyle w:val="Compact"/>
                    <w:jc w:val="center"/>
                    <w:jc w:val="left"/>
                  </w:pPr>
                  <w:r>
                    <w:drawing>
                      <wp:inline>
                        <wp:extent cx="2971800" cy="2228850"/>
                        <wp:effectExtent b="0" l="0" r="0" t="0"/>
                        <wp:docPr descr="" title="" id="329" name="Picture"/>
                        <a:graphic>
                          <a:graphicData uri="http://schemas.openxmlformats.org/drawingml/2006/picture">
                            <pic:pic>
                              <pic:nvPicPr>
                                <pic:cNvPr descr="Scenarios/plots_s5/compare16_densities_SR_LN(R0).png" id="330" name="Picture"/>
                                <pic:cNvPicPr>
                                  <a:picLocks noChangeArrowheads="1" noChangeAspect="1"/>
                                </pic:cNvPicPr>
                              </pic:nvPicPr>
                              <pic:blipFill>
                                <a:blip r:embed="rId32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33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35" w:name="fig-s5-ssb-par"/>
                <w:p>
                  <w:pPr>
                    <w:pStyle w:val="Compact"/>
                    <w:jc w:val="center"/>
                    <w:jc w:val="left"/>
                  </w:pPr>
                  <w:r>
                    <w:drawing>
                      <wp:inline>
                        <wp:extent cx="2971800" cy="2228850"/>
                        <wp:effectExtent b="0" l="0" r="0" t="0"/>
                        <wp:docPr descr="" title="" id="333" name="Picture"/>
                        <a:graphic>
                          <a:graphicData uri="http://schemas.openxmlformats.org/drawingml/2006/picture">
                            <pic:pic>
                              <pic:nvPicPr>
                                <pic:cNvPr descr="Scenarios/plots_s5/compare16_densities_SSB_Virgin.png" id="334" name="Picture"/>
                                <pic:cNvPicPr>
                                  <a:picLocks noChangeArrowheads="1" noChangeAspect="1"/>
                                </pic:cNvPicPr>
                              </pic:nvPicPr>
                              <pic:blipFill>
                                <a:blip r:embed="rId33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335"/>
              </w:tc>
            </w:tr>
          </w:tbl>
          <w:p/>
        </w:tc>
      </w:tr>
    </w:tbl>
    <w:p>
      <w:pPr>
        <w:pStyle w:val="BodyText"/>
      </w:pPr>
      <w:pPr>
        <w:spacing w:before="200"/>
        <w:pStyle w:val="ImageCaption"/>
      </w:pPr>
      <w:r>
        <w:t xml:space="preserve">Figure 8.22: St. Croix stoplight parrotfish parameter distribution for (a) the natural log of the unfished recruitment parameter of the Beverton – Holt stock-recruit function and (b) virgin spawning stock biomass in metric tons across model variations (a_m3_s5, b_m3_s5, v1_m3_s5, v3_m3_s5, and v7_m3_s5).</w:t>
      </w:r>
    </w:p>
    <w:bookmarkEnd w:id="336"/>
    <w:p>
      <w:pPr>
        <w:pStyle w:val="BodyText"/>
      </w:pPr>
      <w:r>
        <w:t xml:space="preserve"> </w:t>
      </w:r>
    </w:p>
    <w:bookmarkStart w:id="353" w:name="fig-s5-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0" w:name="fig-s5-ratio"/>
                <w:p>
                  <w:pPr>
                    <w:pStyle w:val="Compact"/>
                    <w:jc w:val="center"/>
                    <w:jc w:val="left"/>
                  </w:pPr>
                  <w:r>
                    <w:drawing>
                      <wp:inline>
                        <wp:extent cx="2971800" cy="2228850"/>
                        <wp:effectExtent b="0" l="0" r="0" t="0"/>
                        <wp:docPr descr="" title="" id="338" name="Picture"/>
                        <a:graphic>
                          <a:graphicData uri="http://schemas.openxmlformats.org/drawingml/2006/picture">
                            <pic:pic>
                              <pic:nvPicPr>
                                <pic:cNvPr descr="Scenarios/plots_s5_plain/compare4_Bratio_uncertainty.png" id="339" name="Picture"/>
                                <pic:cNvPicPr>
                                  <a:picLocks noChangeArrowheads="1" noChangeAspect="1"/>
                                </pic:cNvPicPr>
                              </pic:nvPicPr>
                              <pic:blipFill>
                                <a:blip r:embed="rId33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4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4" w:name="fig-s5-ssb"/>
                <w:p>
                  <w:pPr>
                    <w:pStyle w:val="Compact"/>
                    <w:jc w:val="center"/>
                    <w:jc w:val="left"/>
                  </w:pPr>
                  <w:r>
                    <w:drawing>
                      <wp:inline>
                        <wp:extent cx="2971800" cy="2228850"/>
                        <wp:effectExtent b="0" l="0" r="0" t="0"/>
                        <wp:docPr descr="" title="" id="342" name="Picture"/>
                        <a:graphic>
                          <a:graphicData uri="http://schemas.openxmlformats.org/drawingml/2006/picture">
                            <pic:pic>
                              <pic:nvPicPr>
                                <pic:cNvPr descr="Scenarios/plots_s5_plain/compare2_spawnbio_uncertainty.png" id="343" name="Picture"/>
                                <pic:cNvPicPr>
                                  <a:picLocks noChangeArrowheads="1" noChangeAspect="1"/>
                                </pic:cNvPicPr>
                              </pic:nvPicPr>
                              <pic:blipFill>
                                <a:blip r:embed="rId34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4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8" w:name="fig-s5-f"/>
                <w:p>
                  <w:pPr>
                    <w:pStyle w:val="Compact"/>
                    <w:jc w:val="center"/>
                    <w:jc w:val="left"/>
                  </w:pPr>
                  <w:r>
                    <w:drawing>
                      <wp:inline>
                        <wp:extent cx="2971800" cy="2228850"/>
                        <wp:effectExtent b="0" l="0" r="0" t="0"/>
                        <wp:docPr descr="" title="" id="346" name="Picture"/>
                        <a:graphic>
                          <a:graphicData uri="http://schemas.openxmlformats.org/drawingml/2006/picture">
                            <pic:pic>
                              <pic:nvPicPr>
                                <pic:cNvPr descr="Scenarios/plots_s5/compare8_Fvalue_uncertainty.png" id="347" name="Picture"/>
                                <pic:cNvPicPr>
                                  <a:picLocks noChangeArrowheads="1" noChangeAspect="1"/>
                                </pic:cNvPicPr>
                              </pic:nvPicPr>
                              <pic:blipFill>
                                <a:blip r:embed="rId34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4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52" w:name="fig-s5-recruits"/>
                <w:p>
                  <w:pPr>
                    <w:pStyle w:val="Compact"/>
                    <w:jc w:val="center"/>
                    <w:jc w:val="left"/>
                  </w:pPr>
                  <w:r>
                    <w:drawing>
                      <wp:inline>
                        <wp:extent cx="2971800" cy="2228850"/>
                        <wp:effectExtent b="0" l="0" r="0" t="0"/>
                        <wp:docPr descr="" title="" id="350" name="Picture"/>
                        <a:graphic>
                          <a:graphicData uri="http://schemas.openxmlformats.org/drawingml/2006/picture">
                            <pic:pic>
                              <pic:nvPicPr>
                                <pic:cNvPr descr="Scenarios/plots_s5_plain/compare10_recruits_uncertainty.png" id="351" name="Picture"/>
                                <pic:cNvPicPr>
                                  <a:picLocks noChangeArrowheads="1" noChangeAspect="1"/>
                                </pic:cNvPicPr>
                              </pic:nvPicPr>
                              <pic:blipFill>
                                <a:blip r:embed="rId34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52"/>
              </w:tc>
            </w:tr>
          </w:tbl>
          <w:p/>
        </w:tc>
      </w:tr>
    </w:tbl>
    <w:p>
      <w:pPr>
        <w:pStyle w:val="BodyText"/>
      </w:pPr>
      <w:pPr>
        <w:spacing w:before="200"/>
        <w:pStyle w:val="ImageCaption"/>
      </w:pPr>
      <w:r>
        <w:t xml:space="preserve">Figure 8.23: St. Croix stoplight parrotfish derived quantity time series across model variations (a_m3_s5, b_m3_s5, v1_m3_s5, v3_m3_s5, and v7_m3_s5).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w:t>
      </w:r>
    </w:p>
    <w:bookmarkEnd w:id="353"/>
    <w:bookmarkEnd w:id="354"/>
    <w:bookmarkStart w:id="410" w:name="references"/>
    <w:p>
      <w:pPr>
        <w:pStyle w:val="Heading1"/>
      </w:pPr>
      <w:r>
        <w:t xml:space="preserve">References</w:t>
      </w:r>
    </w:p>
    <w:bookmarkStart w:id="409" w:name="refs"/>
    <w:bookmarkStart w:id="356"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355">
        <w:r>
          <w:rPr>
            <w:rStyle w:val="Hyperlink"/>
          </w:rPr>
          <w:t xml:space="preserve">https://doi.org/10.1111/2041-210x.13081</w:t>
        </w:r>
      </w:hyperlink>
    </w:p>
    <w:bookmarkEnd w:id="356"/>
    <w:bookmarkStart w:id="358"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357">
        <w:r>
          <w:rPr>
            <w:rStyle w:val="Hyperlink"/>
          </w:rPr>
          <w:t xml:space="preserve">https://doi.org/10.1016/j.fishres.2021.105959</w:t>
        </w:r>
      </w:hyperlink>
    </w:p>
    <w:bookmarkEnd w:id="358"/>
    <w:bookmarkStart w:id="360"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359">
        <w:r>
          <w:rPr>
            <w:rStyle w:val="Hyperlink"/>
          </w:rPr>
          <w:t xml:space="preserve">https://doi.org/10.3354/meps246265</w:t>
        </w:r>
      </w:hyperlink>
    </w:p>
    <w:bookmarkEnd w:id="360"/>
    <w:bookmarkStart w:id="362" w:name="ref-cope2024"/>
    <w:p>
      <w:pPr>
        <w:pStyle w:val="Bibliography"/>
      </w:pPr>
      <w:r>
        <w:t xml:space="preserve">Cope, J. (2024).</w:t>
      </w:r>
      <w:r>
        <w:t xml:space="preserve"> </w:t>
      </w:r>
      <w:r>
        <w:rPr>
          <w:i/>
          <w:iCs/>
        </w:rPr>
        <w:t xml:space="preserve">Stock assessment continuum tool</w:t>
      </w:r>
      <w:r>
        <w:t xml:space="preserve">.</w:t>
      </w:r>
      <w:r>
        <w:t xml:space="preserve"> </w:t>
      </w:r>
      <w:hyperlink r:id="rId361">
        <w:r>
          <w:rPr>
            <w:rStyle w:val="Hyperlink"/>
          </w:rPr>
          <w:t xml:space="preserve">https://github.com/shcaba/SS-DL-tool</w:t>
        </w:r>
      </w:hyperlink>
    </w:p>
    <w:bookmarkEnd w:id="362"/>
    <w:bookmarkStart w:id="364"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363">
        <w:r>
          <w:rPr>
            <w:rStyle w:val="Hyperlink"/>
          </w:rPr>
          <w:t xml:space="preserve">https://doi.org/10.1016/j.fishres.2022.106493</w:t>
        </w:r>
      </w:hyperlink>
    </w:p>
    <w:bookmarkEnd w:id="364"/>
    <w:bookmarkStart w:id="366"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365">
        <w:r>
          <w:rPr>
            <w:rStyle w:val="Hyperlink"/>
          </w:rPr>
          <w:t xml:space="preserve">https://repository.library.noaa.gov/view/noaa/45275</w:t>
        </w:r>
      </w:hyperlink>
    </w:p>
    <w:bookmarkEnd w:id="366"/>
    <w:bookmarkStart w:id="368"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367">
        <w:r>
          <w:rPr>
            <w:rStyle w:val="Hyperlink"/>
          </w:rPr>
          <w:t xml:space="preserve">https://sedarweb.org/documents/sedar-84-dw-11-sedar-84-trip-interview-program-tip-size-composition-analysis-of-stoplight-parrotfish-sparisoma-viride-in-st-croix-u-s-caribbean-1983-2022/</w:t>
        </w:r>
      </w:hyperlink>
    </w:p>
    <w:bookmarkEnd w:id="368"/>
    <w:bookmarkStart w:id="370"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369">
        <w:r>
          <w:rPr>
            <w:rStyle w:val="Hyperlink"/>
          </w:rPr>
          <w:t xml:space="preserve">https://sedarweb.org/documents/sedar-84-dw-14-fishery-independent-reef-fish-visual-survey-population-density-and-length-composition-for-stoplight-parrotfish-in-the-st-croix/</w:t>
        </w:r>
      </w:hyperlink>
    </w:p>
    <w:bookmarkEnd w:id="370"/>
    <w:bookmarkStart w:id="372"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371">
        <w:r>
          <w:rPr>
            <w:rStyle w:val="Hyperlink"/>
          </w:rPr>
          <w:t xml:space="preserve">https://sedarweb.org/documents/sedar-80-wp-02-national-coral-reef-monitoring-programs-reef-fish-visual-census-metadata-for-the-u-s-caribbean/</w:t>
        </w:r>
      </w:hyperlink>
    </w:p>
    <w:bookmarkEnd w:id="372"/>
    <w:bookmarkStart w:id="374"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73">
        <w:r>
          <w:rPr>
            <w:rStyle w:val="Hyperlink"/>
          </w:rPr>
          <w:t xml:space="preserve">https://doi.org/10.1093/icesjms/fsu131</w:t>
        </w:r>
      </w:hyperlink>
    </w:p>
    <w:bookmarkEnd w:id="374"/>
    <w:bookmarkStart w:id="376"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75">
        <w:r>
          <w:rPr>
            <w:rStyle w:val="Hyperlink"/>
          </w:rPr>
          <w:t xml:space="preserve">https://doi.org/10.1016/j.fishres.2022.106477</w:t>
        </w:r>
      </w:hyperlink>
    </w:p>
    <w:bookmarkEnd w:id="376"/>
    <w:bookmarkStart w:id="378"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77">
        <w:r>
          <w:rPr>
            <w:rStyle w:val="Hyperlink"/>
          </w:rPr>
          <w:t xml:space="preserve">https://doi.org/10.1139/f95-233</w:t>
        </w:r>
      </w:hyperlink>
    </w:p>
    <w:bookmarkEnd w:id="378"/>
    <w:bookmarkStart w:id="380"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79">
        <w:r>
          <w:rPr>
            <w:rStyle w:val="Hyperlink"/>
          </w:rPr>
          <w:t xml:space="preserve">https://doi.org/10.1139/f97-007</w:t>
        </w:r>
      </w:hyperlink>
    </w:p>
    <w:bookmarkEnd w:id="380"/>
    <w:bookmarkStart w:id="382"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381">
        <w:r>
          <w:rPr>
            <w:rStyle w:val="Hyperlink"/>
          </w:rPr>
          <w:t xml:space="preserve">https://sedarweb.org/documents/sedar-84-dw-05-summary-of-management-actions-for-stoplight-parrotfish-sparisoma-viride-from-st-croix-1985-2021-as-documented-within-the-management-history-database/</w:t>
        </w:r>
      </w:hyperlink>
    </w:p>
    <w:bookmarkEnd w:id="382"/>
    <w:bookmarkStart w:id="384"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383">
        <w:r>
          <w:rPr>
            <w:rStyle w:val="Hyperlink"/>
          </w:rPr>
          <w:t xml:space="preserve">https://sedarweb.org/documents/sedar-84-dw-03-sedar-84-commercial-fishery-landings-of-stoplight-parrotfish-sparisoma-viride-in-st-croix-us-caribbean-2012-2022/</w:t>
        </w:r>
      </w:hyperlink>
    </w:p>
    <w:bookmarkEnd w:id="384"/>
    <w:bookmarkStart w:id="386"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85">
        <w:r>
          <w:rPr>
            <w:rStyle w:val="Hyperlink"/>
          </w:rPr>
          <w:t xml:space="preserve">https://doi.org/10.1016/j.fishres.2012.10.012</w:t>
        </w:r>
      </w:hyperlink>
    </w:p>
    <w:bookmarkEnd w:id="386"/>
    <w:bookmarkStart w:id="388"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87">
        <w:r>
          <w:rPr>
            <w:rStyle w:val="Hyperlink"/>
          </w:rPr>
          <w:t xml:space="preserve">https://doi.org/10.25923/5WPN-QT71</w:t>
        </w:r>
      </w:hyperlink>
    </w:p>
    <w:bookmarkEnd w:id="388"/>
    <w:bookmarkStart w:id="390" w:name="ref-rikhter1976"/>
    <w:p>
      <w:pPr>
        <w:pStyle w:val="Bibliography"/>
      </w:pPr>
      <w:r>
        <w:t xml:space="preserve">Rikhter, V. A., &amp; Efanov, V. N. (1976). 12.</w:t>
      </w:r>
      <w:r>
        <w:t xml:space="preserve"> </w:t>
      </w:r>
      <w:hyperlink r:id="rId389">
        <w:r>
          <w:rPr>
            <w:rStyle w:val="Hyperlink"/>
          </w:rPr>
          <w:t xml:space="preserve">https://www.nafo.int/icnaf/library/docs/1976/res-08.pdf</w:t>
        </w:r>
      </w:hyperlink>
    </w:p>
    <w:bookmarkEnd w:id="390"/>
    <w:bookmarkStart w:id="392"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391">
        <w:r>
          <w:rPr>
            <w:rStyle w:val="Hyperlink"/>
          </w:rPr>
          <w:t xml:space="preserve">https://sedarweb.org/documents/sedar-84-ap-01-report-on-the-status-of-u-s-caribbean-stoplight-parrotfish-sparisoma-viride-age-growth-and-reproductive-biology-for-the-sedar84-stock-assessment</w:t>
        </w:r>
      </w:hyperlink>
    </w:p>
    <w:bookmarkEnd w:id="392"/>
    <w:bookmarkStart w:id="394"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93">
        <w:r>
          <w:rPr>
            <w:rStyle w:val="Hyperlink"/>
          </w:rPr>
          <w:t xml:space="preserve">https://sedarweb.org/documents/sedar-46-final-stock-assessment-report-caribbean-data-limited-species/</w:t>
        </w:r>
      </w:hyperlink>
    </w:p>
    <w:bookmarkEnd w:id="394"/>
    <w:bookmarkStart w:id="396"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395">
        <w:r>
          <w:rPr>
            <w:rStyle w:val="Hyperlink"/>
          </w:rPr>
          <w:t xml:space="preserve">http://sedarweb.org/sedar-57</w:t>
        </w:r>
      </w:hyperlink>
    </w:p>
    <w:bookmarkEnd w:id="396"/>
    <w:bookmarkStart w:id="398"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97">
        <w:r>
          <w:rPr>
            <w:rStyle w:val="Hyperlink"/>
          </w:rPr>
          <w:t xml:space="preserve">https://sedarweb.org/documents/sedar-80-us-caribbean-queen-triggerfish-puerto-rico-final-stock-assessment-report/</w:t>
        </w:r>
      </w:hyperlink>
    </w:p>
    <w:bookmarkEnd w:id="398"/>
    <w:bookmarkStart w:id="400"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99">
        <w:r>
          <w:rPr>
            <w:rStyle w:val="Hyperlink"/>
          </w:rPr>
          <w:t xml:space="preserve">https://sedarweb.org/documents/sedar-84-us-caribbean-stoplight-parrotfish-st-croix-data-workshop-report/</w:t>
        </w:r>
      </w:hyperlink>
    </w:p>
    <w:bookmarkEnd w:id="400"/>
    <w:bookmarkStart w:id="402"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401">
        <w:r>
          <w:rPr>
            <w:rStyle w:val="Hyperlink"/>
          </w:rPr>
          <w:t xml:space="preserve">https://doi.org/10.1016/j.fishres.2021.105924</w:t>
        </w:r>
      </w:hyperlink>
    </w:p>
    <w:bookmarkEnd w:id="402"/>
    <w:bookmarkStart w:id="404"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403">
        <w:r>
          <w:rPr>
            <w:rStyle w:val="Hyperlink"/>
          </w:rPr>
          <w:t xml:space="preserve">https://doi.org/10.1093/icesjms/fsu136</w:t>
        </w:r>
      </w:hyperlink>
    </w:p>
    <w:bookmarkEnd w:id="404"/>
    <w:bookmarkStart w:id="406"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405">
        <w:r>
          <w:rPr>
            <w:rStyle w:val="Hyperlink"/>
          </w:rPr>
          <w:t xml:space="preserve">https://doi.org/10.1111/faf.12427</w:t>
        </w:r>
      </w:hyperlink>
    </w:p>
    <w:bookmarkEnd w:id="406"/>
    <w:bookmarkStart w:id="408"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407">
        <w:r>
          <w:rPr>
            <w:rStyle w:val="Hyperlink"/>
          </w:rPr>
          <w:t xml:space="preserve">https://doi.org/10.1002/eap.1606</w:t>
        </w:r>
      </w:hyperlink>
    </w:p>
    <w:bookmarkEnd w:id="408"/>
    <w:bookmarkEnd w:id="409"/>
    <w:bookmarkEnd w:id="41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7" Target="media/rId117.png" /><Relationship Type="http://schemas.openxmlformats.org/officeDocument/2006/relationships/image" Id="rId254" Target="media/rId254.png" /><Relationship Type="http://schemas.openxmlformats.org/officeDocument/2006/relationships/image" Id="rId238" Target="media/rId238.png" /><Relationship Type="http://schemas.openxmlformats.org/officeDocument/2006/relationships/image" Id="rId286" Target="media/rId286.png" /><Relationship Type="http://schemas.openxmlformats.org/officeDocument/2006/relationships/image" Id="rId270" Target="media/rId270.png" /><Relationship Type="http://schemas.openxmlformats.org/officeDocument/2006/relationships/image" Id="rId222" Target="media/rId222.png" /><Relationship Type="http://schemas.openxmlformats.org/officeDocument/2006/relationships/image" Id="rId206" Target="media/rId206.png" /><Relationship Type="http://schemas.openxmlformats.org/officeDocument/2006/relationships/image" Id="rId190" Target="media/rId190.png" /><Relationship Type="http://schemas.openxmlformats.org/officeDocument/2006/relationships/image" Id="rId146" Target="media/rId146.png" /><Relationship Type="http://schemas.openxmlformats.org/officeDocument/2006/relationships/image" Id="rId133" Target="media/rId133.png" /><Relationship Type="http://schemas.openxmlformats.org/officeDocument/2006/relationships/image" Id="rId120" Target="media/rId120.png" /><Relationship Type="http://schemas.openxmlformats.org/officeDocument/2006/relationships/image" Id="rId257" Target="media/rId257.png" /><Relationship Type="http://schemas.openxmlformats.org/officeDocument/2006/relationships/image" Id="rId241" Target="media/rId241.png" /><Relationship Type="http://schemas.openxmlformats.org/officeDocument/2006/relationships/image" Id="rId289" Target="media/rId289.png" /><Relationship Type="http://schemas.openxmlformats.org/officeDocument/2006/relationships/image" Id="rId273" Target="media/rId273.png" /><Relationship Type="http://schemas.openxmlformats.org/officeDocument/2006/relationships/image" Id="rId225" Target="media/rId225.png" /><Relationship Type="http://schemas.openxmlformats.org/officeDocument/2006/relationships/image" Id="rId209" Target="media/rId209.png" /><Relationship Type="http://schemas.openxmlformats.org/officeDocument/2006/relationships/image" Id="rId193" Target="media/rId193.png" /><Relationship Type="http://schemas.openxmlformats.org/officeDocument/2006/relationships/image" Id="rId153" Target="media/rId153.png" /><Relationship Type="http://schemas.openxmlformats.org/officeDocument/2006/relationships/image" Id="rId180" Target="media/rId180.png" /><Relationship Type="http://schemas.openxmlformats.org/officeDocument/2006/relationships/image" Id="rId157" Target="media/rId157.png" /><Relationship Type="http://schemas.openxmlformats.org/officeDocument/2006/relationships/image" Id="rId123" Target="media/rId123.png" /><Relationship Type="http://schemas.openxmlformats.org/officeDocument/2006/relationships/image" Id="rId260" Target="media/rId260.png" /><Relationship Type="http://schemas.openxmlformats.org/officeDocument/2006/relationships/image" Id="rId244" Target="media/rId244.png" /><Relationship Type="http://schemas.openxmlformats.org/officeDocument/2006/relationships/image" Id="rId292" Target="media/rId292.png" /><Relationship Type="http://schemas.openxmlformats.org/officeDocument/2006/relationships/image" Id="rId276" Target="media/rId276.png" /><Relationship Type="http://schemas.openxmlformats.org/officeDocument/2006/relationships/image" Id="rId228" Target="media/rId228.png" /><Relationship Type="http://schemas.openxmlformats.org/officeDocument/2006/relationships/image" Id="rId212" Target="media/rId212.png" /><Relationship Type="http://schemas.openxmlformats.org/officeDocument/2006/relationships/image" Id="rId196" Target="media/rId196.png" /><Relationship Type="http://schemas.openxmlformats.org/officeDocument/2006/relationships/image" Id="rId162" Target="media/rId162.png" /><Relationship Type="http://schemas.openxmlformats.org/officeDocument/2006/relationships/image" Id="rId183" Target="media/rId183.png" /><Relationship Type="http://schemas.openxmlformats.org/officeDocument/2006/relationships/image" Id="rId166" Target="media/rId166.png" /><Relationship Type="http://schemas.openxmlformats.org/officeDocument/2006/relationships/image" Id="rId136" Target="media/rId136.png" /><Relationship Type="http://schemas.openxmlformats.org/officeDocument/2006/relationships/image" Id="rId126" Target="media/rId126.png" /><Relationship Type="http://schemas.openxmlformats.org/officeDocument/2006/relationships/image" Id="rId263" Target="media/rId263.png" /><Relationship Type="http://schemas.openxmlformats.org/officeDocument/2006/relationships/image" Id="rId247" Target="media/rId247.png" /><Relationship Type="http://schemas.openxmlformats.org/officeDocument/2006/relationships/image" Id="rId295" Target="media/rId295.png" /><Relationship Type="http://schemas.openxmlformats.org/officeDocument/2006/relationships/image" Id="rId279" Target="media/rId279.png" /><Relationship Type="http://schemas.openxmlformats.org/officeDocument/2006/relationships/image" Id="rId231" Target="media/rId231.png" /><Relationship Type="http://schemas.openxmlformats.org/officeDocument/2006/relationships/image" Id="rId215" Target="media/rId215.png" /><Relationship Type="http://schemas.openxmlformats.org/officeDocument/2006/relationships/image" Id="rId199" Target="media/rId199.pn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29" Target="media/rId129.png" /><Relationship Type="http://schemas.openxmlformats.org/officeDocument/2006/relationships/image" Id="rId266" Target="media/rId266.png" /><Relationship Type="http://schemas.openxmlformats.org/officeDocument/2006/relationships/image" Id="rId250" Target="media/rId250.png" /><Relationship Type="http://schemas.openxmlformats.org/officeDocument/2006/relationships/image" Id="rId298" Target="media/rId298.png" /><Relationship Type="http://schemas.openxmlformats.org/officeDocument/2006/relationships/image" Id="rId282" Target="media/rId282.png" /><Relationship Type="http://schemas.openxmlformats.org/officeDocument/2006/relationships/image" Id="rId234" Target="media/rId234.png" /><Relationship Type="http://schemas.openxmlformats.org/officeDocument/2006/relationships/image" Id="rId218" Target="media/rId218.png" /><Relationship Type="http://schemas.openxmlformats.org/officeDocument/2006/relationships/image" Id="rId202" Target="media/rId202.png" /><Relationship Type="http://schemas.openxmlformats.org/officeDocument/2006/relationships/image" Id="rId171" Target="media/rId171.png" /><Relationship Type="http://schemas.openxmlformats.org/officeDocument/2006/relationships/image" Id="rId186" Target="media/rId186.png" /><Relationship Type="http://schemas.openxmlformats.org/officeDocument/2006/relationships/image" Id="rId175" Target="media/rId175.png" /><Relationship Type="http://schemas.openxmlformats.org/officeDocument/2006/relationships/image" Id="rId142" Target="media/rId142.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108" Target="media/rId108.png" /><Relationship Type="http://schemas.openxmlformats.org/officeDocument/2006/relationships/image" Id="rId87" Target="media/rId87.png" /><Relationship Type="http://schemas.openxmlformats.org/officeDocument/2006/relationships/image" Id="rId112" Target="media/rId112.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302" Target="media/rId302.png" /><Relationship Type="http://schemas.openxmlformats.org/officeDocument/2006/relationships/image" Id="rId306" Target="media/rId306.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15" Target="media/rId315.png" /><Relationship Type="http://schemas.openxmlformats.org/officeDocument/2006/relationships/image" Id="rId311" Target="media/rId311.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45" Target="media/rId345.png" /><Relationship Type="http://schemas.openxmlformats.org/officeDocument/2006/relationships/image" Id="rId349" Target="media/rId349.png" /><Relationship Type="http://schemas.openxmlformats.org/officeDocument/2006/relationships/image" Id="rId341" Target="media/rId341.png" /><Relationship Type="http://schemas.openxmlformats.org/officeDocument/2006/relationships/image" Id="rId337" Target="media/rId337.png" /><Relationship Type="http://schemas.openxmlformats.org/officeDocument/2006/relationships/image" Id="rId83" Target="media/rId83.jpg" /><Relationship Type="http://schemas.openxmlformats.org/officeDocument/2006/relationships/image" Id="rId79" Target="media/rId79.jpg" /><Relationship Type="http://schemas.openxmlformats.org/officeDocument/2006/relationships/hyperlink" Id="rId395" Target="http://sedarweb.org/sedar-57" TargetMode="External" /><Relationship Type="http://schemas.openxmlformats.org/officeDocument/2006/relationships/hyperlink" Id="rId407" Target="https://doi.org/10.1002/eap.1606" TargetMode="External" /><Relationship Type="http://schemas.openxmlformats.org/officeDocument/2006/relationships/hyperlink" Id="rId385" Target="https://doi.org/10.1016/j.fishres.2012.10.012" TargetMode="External" /><Relationship Type="http://schemas.openxmlformats.org/officeDocument/2006/relationships/hyperlink" Id="rId401" Target="https://doi.org/10.1016/j.fishres.2021.105924" TargetMode="External" /><Relationship Type="http://schemas.openxmlformats.org/officeDocument/2006/relationships/hyperlink" Id="rId357" Target="https://doi.org/10.1016/j.fishres.2021.105959" TargetMode="External" /><Relationship Type="http://schemas.openxmlformats.org/officeDocument/2006/relationships/hyperlink" Id="rId375" Target="https://doi.org/10.1016/j.fishres.2022.106477" TargetMode="External" /><Relationship Type="http://schemas.openxmlformats.org/officeDocument/2006/relationships/hyperlink" Id="rId363" Target="https://doi.org/10.1016/j.fishres.2022.106493" TargetMode="External" /><Relationship Type="http://schemas.openxmlformats.org/officeDocument/2006/relationships/hyperlink" Id="rId373" Target="https://doi.org/10.1093/icesjms/fsu131" TargetMode="External" /><Relationship Type="http://schemas.openxmlformats.org/officeDocument/2006/relationships/hyperlink" Id="rId403" Target="https://doi.org/10.1093/icesjms/fsu136" TargetMode="External" /><Relationship Type="http://schemas.openxmlformats.org/officeDocument/2006/relationships/hyperlink" Id="rId355" Target="https://doi.org/10.1111/2041-210x.13081" TargetMode="External" /><Relationship Type="http://schemas.openxmlformats.org/officeDocument/2006/relationships/hyperlink" Id="rId405" Target="https://doi.org/10.1111/faf.12427" TargetMode="External" /><Relationship Type="http://schemas.openxmlformats.org/officeDocument/2006/relationships/hyperlink" Id="rId377" Target="https://doi.org/10.1139/f95-233" TargetMode="External" /><Relationship Type="http://schemas.openxmlformats.org/officeDocument/2006/relationships/hyperlink" Id="rId379" Target="https://doi.org/10.1139/f97-007" TargetMode="External" /><Relationship Type="http://schemas.openxmlformats.org/officeDocument/2006/relationships/hyperlink" Id="rId387" Target="https://doi.org/10.25923/5WPN-QT71" TargetMode="External" /><Relationship Type="http://schemas.openxmlformats.org/officeDocument/2006/relationships/hyperlink" Id="rId359" Target="https://doi.org/10.3354/meps246265" TargetMode="External" /><Relationship Type="http://schemas.openxmlformats.org/officeDocument/2006/relationships/hyperlink" Id="rId361" Target="https://github.com/shcaba/SS-DL-tool" TargetMode="External" /><Relationship Type="http://schemas.openxmlformats.org/officeDocument/2006/relationships/hyperlink" Id="rId411" Target="https://quarto.org/" TargetMode="External" /><Relationship Type="http://schemas.openxmlformats.org/officeDocument/2006/relationships/hyperlink" Id="rId365" Target="https://repository.library.noaa.gov/view/noaa/45275" TargetMode="External" /><Relationship Type="http://schemas.openxmlformats.org/officeDocument/2006/relationships/hyperlink" Id="rId393" Target="https://sedarweb.org/documents/sedar-46-final-stock-assessment-report-caribbean-data-limited-species/" TargetMode="External" /><Relationship Type="http://schemas.openxmlformats.org/officeDocument/2006/relationships/hyperlink" Id="rId397" Target="https://sedarweb.org/documents/sedar-80-us-caribbean-queen-triggerfish-puerto-rico-final-stock-assessment-report/" TargetMode="External" /><Relationship Type="http://schemas.openxmlformats.org/officeDocument/2006/relationships/hyperlink" Id="rId371" Target="https://sedarweb.org/documents/sedar-80-wp-02-national-coral-reef-monitoring-programs-reef-fish-visual-census-metadata-for-the-u-s-caribbean/" TargetMode="External" /><Relationship Type="http://schemas.openxmlformats.org/officeDocument/2006/relationships/hyperlink" Id="rId391" Target="https://sedarweb.org/documents/sedar-84-ap-01-report-on-the-status-of-u-s-caribbean-stoplight-parrotfish-sparisoma-viride-age-growth-and-reproductive-biology-for-the-sedar84-stock-assessment" TargetMode="External" /><Relationship Type="http://schemas.openxmlformats.org/officeDocument/2006/relationships/hyperlink" Id="rId383" Target="https://sedarweb.org/documents/sedar-84-dw-03-sedar-84-commercial-fishery-landings-of-stoplight-parrotfish-sparisoma-viride-in-st-croix-us-caribbean-2012-2022/" TargetMode="External" /><Relationship Type="http://schemas.openxmlformats.org/officeDocument/2006/relationships/hyperlink" Id="rId381"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67" Target="https://sedarweb.org/documents/sedar-84-dw-11-sedar-84-trip-interview-program-tip-size-composition-analysis-of-stoplight-parrotfish-sparisoma-viride-in-st-croix-u-s-caribbean-1983-2022/" TargetMode="External" /><Relationship Type="http://schemas.openxmlformats.org/officeDocument/2006/relationships/hyperlink" Id="rId369" Target="https://sedarweb.org/documents/sedar-84-dw-14-fishery-independent-reef-fish-visual-survey-population-density-and-length-composition-for-stoplight-parrotfish-in-the-st-croix/" TargetMode="External" /><Relationship Type="http://schemas.openxmlformats.org/officeDocument/2006/relationships/hyperlink" Id="rId399" Target="https://sedarweb.org/documents/sedar-84-us-caribbean-stoplight-parrotfish-st-croix-data-workshop-report/" TargetMode="External" /><Relationship Type="http://schemas.openxmlformats.org/officeDocument/2006/relationships/hyperlink" Id="rId389"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95" Target="http://sedarweb.org/sedar-57" TargetMode="External" /><Relationship Type="http://schemas.openxmlformats.org/officeDocument/2006/relationships/hyperlink" Id="rId407" Target="https://doi.org/10.1002/eap.1606" TargetMode="External" /><Relationship Type="http://schemas.openxmlformats.org/officeDocument/2006/relationships/hyperlink" Id="rId385" Target="https://doi.org/10.1016/j.fishres.2012.10.012" TargetMode="External" /><Relationship Type="http://schemas.openxmlformats.org/officeDocument/2006/relationships/hyperlink" Id="rId401" Target="https://doi.org/10.1016/j.fishres.2021.105924" TargetMode="External" /><Relationship Type="http://schemas.openxmlformats.org/officeDocument/2006/relationships/hyperlink" Id="rId357" Target="https://doi.org/10.1016/j.fishres.2021.105959" TargetMode="External" /><Relationship Type="http://schemas.openxmlformats.org/officeDocument/2006/relationships/hyperlink" Id="rId375" Target="https://doi.org/10.1016/j.fishres.2022.106477" TargetMode="External" /><Relationship Type="http://schemas.openxmlformats.org/officeDocument/2006/relationships/hyperlink" Id="rId363" Target="https://doi.org/10.1016/j.fishres.2022.106493" TargetMode="External" /><Relationship Type="http://schemas.openxmlformats.org/officeDocument/2006/relationships/hyperlink" Id="rId373" Target="https://doi.org/10.1093/icesjms/fsu131" TargetMode="External" /><Relationship Type="http://schemas.openxmlformats.org/officeDocument/2006/relationships/hyperlink" Id="rId403" Target="https://doi.org/10.1093/icesjms/fsu136" TargetMode="External" /><Relationship Type="http://schemas.openxmlformats.org/officeDocument/2006/relationships/hyperlink" Id="rId355" Target="https://doi.org/10.1111/2041-210x.13081" TargetMode="External" /><Relationship Type="http://schemas.openxmlformats.org/officeDocument/2006/relationships/hyperlink" Id="rId405" Target="https://doi.org/10.1111/faf.12427" TargetMode="External" /><Relationship Type="http://schemas.openxmlformats.org/officeDocument/2006/relationships/hyperlink" Id="rId377" Target="https://doi.org/10.1139/f95-233" TargetMode="External" /><Relationship Type="http://schemas.openxmlformats.org/officeDocument/2006/relationships/hyperlink" Id="rId379" Target="https://doi.org/10.1139/f97-007" TargetMode="External" /><Relationship Type="http://schemas.openxmlformats.org/officeDocument/2006/relationships/hyperlink" Id="rId387" Target="https://doi.org/10.25923/5WPN-QT71" TargetMode="External" /><Relationship Type="http://schemas.openxmlformats.org/officeDocument/2006/relationships/hyperlink" Id="rId359" Target="https://doi.org/10.3354/meps246265" TargetMode="External" /><Relationship Type="http://schemas.openxmlformats.org/officeDocument/2006/relationships/hyperlink" Id="rId361" Target="https://github.com/shcaba/SS-DL-tool" TargetMode="External" /><Relationship Type="http://schemas.openxmlformats.org/officeDocument/2006/relationships/hyperlink" Id="rId411" Target="https://quarto.org/" TargetMode="External" /><Relationship Type="http://schemas.openxmlformats.org/officeDocument/2006/relationships/hyperlink" Id="rId365" Target="https://repository.library.noaa.gov/view/noaa/45275" TargetMode="External" /><Relationship Type="http://schemas.openxmlformats.org/officeDocument/2006/relationships/hyperlink" Id="rId393" Target="https://sedarweb.org/documents/sedar-46-final-stock-assessment-report-caribbean-data-limited-species/" TargetMode="External" /><Relationship Type="http://schemas.openxmlformats.org/officeDocument/2006/relationships/hyperlink" Id="rId397" Target="https://sedarweb.org/documents/sedar-80-us-caribbean-queen-triggerfish-puerto-rico-final-stock-assessment-report/" TargetMode="External" /><Relationship Type="http://schemas.openxmlformats.org/officeDocument/2006/relationships/hyperlink" Id="rId371" Target="https://sedarweb.org/documents/sedar-80-wp-02-national-coral-reef-monitoring-programs-reef-fish-visual-census-metadata-for-the-u-s-caribbean/" TargetMode="External" /><Relationship Type="http://schemas.openxmlformats.org/officeDocument/2006/relationships/hyperlink" Id="rId391" Target="https://sedarweb.org/documents/sedar-84-ap-01-report-on-the-status-of-u-s-caribbean-stoplight-parrotfish-sparisoma-viride-age-growth-and-reproductive-biology-for-the-sedar84-stock-assessment" TargetMode="External" /><Relationship Type="http://schemas.openxmlformats.org/officeDocument/2006/relationships/hyperlink" Id="rId383" Target="https://sedarweb.org/documents/sedar-84-dw-03-sedar-84-commercial-fishery-landings-of-stoplight-parrotfish-sparisoma-viride-in-st-croix-us-caribbean-2012-2022/" TargetMode="External" /><Relationship Type="http://schemas.openxmlformats.org/officeDocument/2006/relationships/hyperlink" Id="rId381"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67" Target="https://sedarweb.org/documents/sedar-84-dw-11-sedar-84-trip-interview-program-tip-size-composition-analysis-of-stoplight-parrotfish-sparisoma-viride-in-st-croix-u-s-caribbean-1983-2022/" TargetMode="External" /><Relationship Type="http://schemas.openxmlformats.org/officeDocument/2006/relationships/hyperlink" Id="rId369" Target="https://sedarweb.org/documents/sedar-84-dw-14-fishery-independent-reef-fish-visual-survey-population-density-and-length-composition-for-stoplight-parrotfish-in-the-st-croix/" TargetMode="External" /><Relationship Type="http://schemas.openxmlformats.org/officeDocument/2006/relationships/hyperlink" Id="rId399" Target="https://sedarweb.org/documents/sedar-84-us-caribbean-stoplight-parrotfish-st-croix-data-workshop-report/" TargetMode="External" /><Relationship Type="http://schemas.openxmlformats.org/officeDocument/2006/relationships/hyperlink" Id="rId389"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2025-04-23T10:02:35Z</dcterms:created>
  <dcterms:modified xsi:type="dcterms:W3CDTF">2025-04-23T10:02:35Z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