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0.png" ContentType="image/png"/>
  <Override PartName="/word/media/rId241.png" ContentType="image/png"/>
  <Override PartName="/word/media/rId225.png" ContentType="image/png"/>
  <Override PartName="/word/media/rId273.png" ContentType="image/png"/>
  <Override PartName="/word/media/rId257.png" ContentType="image/png"/>
  <Override PartName="/word/media/rId209.png" ContentType="image/png"/>
  <Override PartName="/word/media/rId193.png" ContentType="image/png"/>
  <Override PartName="/word/media/rId177.png" ContentType="image/png"/>
  <Override PartName="/word/media/rId139.png" ContentType="image/png"/>
  <Override PartName="/word/media/rId126.png" ContentType="image/png"/>
  <Override PartName="/word/media/rId113.png" ContentType="image/png"/>
  <Override PartName="/word/media/rId244.png" ContentType="image/png"/>
  <Override PartName="/word/media/rId228.png" ContentType="image/png"/>
  <Override PartName="/word/media/rId276.png" ContentType="image/png"/>
  <Override PartName="/word/media/rId260.png" ContentType="image/png"/>
  <Override PartName="/word/media/rId212.png" ContentType="image/png"/>
  <Override PartName="/word/media/rId196.png" ContentType="image/png"/>
  <Override PartName="/word/media/rId180.png" ContentType="image/png"/>
  <Override PartName="/word/media/rId146.png" ContentType="image/png"/>
  <Override PartName="/word/media/rId167.png" ContentType="image/png"/>
  <Override PartName="/word/media/rId149.png" ContentType="image/png"/>
  <Override PartName="/word/media/rId116.png" ContentType="image/png"/>
  <Override PartName="/word/media/rId247.png" ContentType="image/png"/>
  <Override PartName="/word/media/rId231.png" ContentType="image/png"/>
  <Override PartName="/word/media/rId279.png" ContentType="image/png"/>
  <Override PartName="/word/media/rId263.png" ContentType="image/png"/>
  <Override PartName="/word/media/rId215.png" ContentType="image/png"/>
  <Override PartName="/word/media/rId199.png" ContentType="image/png"/>
  <Override PartName="/word/media/rId183.png" ContentType="image/png"/>
  <Override PartName="/word/media/rId153.png" ContentType="image/png"/>
  <Override PartName="/word/media/rId170.png" ContentType="image/png"/>
  <Override PartName="/word/media/rId156.png" ContentType="image/png"/>
  <Override PartName="/word/media/rId129.png" ContentType="image/png"/>
  <Override PartName="/word/media/rId119.png" ContentType="image/png"/>
  <Override PartName="/word/media/rId250.png" ContentType="image/png"/>
  <Override PartName="/word/media/rId234.png" ContentType="image/png"/>
  <Override PartName="/word/media/rId282.png" ContentType="image/png"/>
  <Override PartName="/word/media/rId266.png" ContentType="image/png"/>
  <Override PartName="/word/media/rId218.png" ContentType="image/png"/>
  <Override PartName="/word/media/rId202.png" ContentType="image/png"/>
  <Override PartName="/word/media/rId186.png" ContentType="image/png"/>
  <Override PartName="/word/media/rId142.png" ContentType="image/png"/>
  <Override PartName="/word/media/rId132.png" ContentType="image/png"/>
  <Override PartName="/word/media/rId122.png" ContentType="image/png"/>
  <Override PartName="/word/media/rId253.png" ContentType="image/png"/>
  <Override PartName="/word/media/rId237.png" ContentType="image/png"/>
  <Override PartName="/word/media/rId285.png" ContentType="image/png"/>
  <Override PartName="/word/media/rId269.png" ContentType="image/png"/>
  <Override PartName="/word/media/rId221.png" ContentType="image/png"/>
  <Override PartName="/word/media/rId205.png" ContentType="image/png"/>
  <Override PartName="/word/media/rId189.png" ContentType="image/png"/>
  <Override PartName="/word/media/rId160.png" ContentType="image/png"/>
  <Override PartName="/word/media/rId173.png" ContentType="image/png"/>
  <Override PartName="/word/media/rId163.png" ContentType="image/png"/>
  <Override PartName="/word/media/rId135.png" ContentType="image/png"/>
  <Override PartName="/word/media/rId84.png" ContentType="image/png"/>
  <Override PartName="/word/media/rId88.png" ContentType="image/png"/>
  <Override PartName="/word/media/rId101.png" ContentType="image/png"/>
  <Override PartName="/word/media/rId105.png" ContentType="image/png"/>
  <Override PartName="/word/media/rId97.png" ContentType="image/png"/>
  <Override PartName="/word/media/rId93.png" ContentType="image/png"/>
  <Override PartName="/word/media/rId289.png" ContentType="image/png"/>
  <Override PartName="/word/media/rId293.png" ContentType="image/png"/>
  <Override PartName="/word/media/rId306.png" ContentType="image/png"/>
  <Override PartName="/word/media/rId310.png" ContentType="image/png"/>
  <Override PartName="/word/media/rId302.png" ContentType="image/png"/>
  <Override PartName="/word/media/rId298.png" ContentType="image/png"/>
  <Override PartName="/word/media/rId315.png" ContentType="image/png"/>
  <Override PartName="/word/media/rId319.png" ContentType="image/png"/>
  <Override PartName="/word/media/rId332.png" ContentType="image/png"/>
  <Override PartName="/word/media/rId336.png" ContentType="image/png"/>
  <Override PartName="/word/media/rId328.png" ContentType="image/png"/>
  <Override PartName="/word/media/rId324.png" ContentType="image/png"/>
  <Override PartName="/word/media/rId80.jpg" ContentType="image/jpeg"/>
  <Override PartName="/word/media/rId76.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(Sparisoma viride)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commercial logbooks</w:t>
      </w:r>
    </w:p>
    <w:p>
      <w:pPr>
        <w:pStyle w:val="Compact"/>
        <w:numPr>
          <w:ilvl w:val="0"/>
          <w:numId w:val="1001"/>
        </w:numPr>
      </w:pPr>
      <w:r>
        <w:t xml:space="preserve">Fishery-dependent length compositions from commercial port sampling</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the sensitivity of the assessment outcomes was investigated using alternative inputs for longevity-informed natural mortality, coefficient of variation on growth, parameterization of hermaphroditism, and uncertainty on initial model equilibrium catch.</w:t>
      </w:r>
    </w:p>
    <w:p>
      <w:pPr>
        <w:pStyle w:val="BodyText"/>
      </w:pPr>
      <w:r>
        <w:t xml:space="preserve">Model diagnostics checked for convergence, goodness-of-fit, model consistency, and prediction skill by evaluating gradients, residual plots, likelihood profiles, hindcast cross-validation, correlation, and jitter analyses.</w:t>
      </w:r>
    </w:p>
    <w:p>
      <w:r>
        <w:br w:type="page"/>
      </w:r>
    </w:p>
    <w:bookmarkEnd w:id="20"/>
    <w:bookmarkStart w:id="24" w:name="background"/>
    <w:p>
      <w:pPr>
        <w:pStyle w:val="Heading1"/>
      </w:pPr>
      <w:r>
        <w:t xml:space="preserve">1. Background</w:t>
      </w:r>
    </w:p>
    <w:p>
      <w:pPr>
        <w:pStyle w:val="FirstParagraph"/>
      </w:pPr>
      <w:r>
        <w:t xml:space="preserve">The stoplight parrotfish (Sparisoma viride)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sec-background-manag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7.1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(Sparisoma chrysopterum).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in the U.S. EEZ surrounding St. Croix, defined as the federal waters ranging from 3 to 200 nautical miles (nm) (5.6 – 370 kilometers [km]) from the nearest coastline point of the U.S. Virgin Islands (</w:t>
      </w:r>
      <w:hyperlink w:anchor="fig-eez">
        <w:r>
          <w:rPr>
            <w:rStyle w:val="Hyperlink"/>
          </w:rPr>
          <w:t xml:space="preserve">Figure 7.2</w:t>
        </w:r>
      </w:hyperlink>
      <w:r>
        <w:t xml:space="preserve">).</w:t>
      </w:r>
    </w:p>
    <w:bookmarkEnd w:id="21"/>
    <w:bookmarkStart w:id="22" w:name="sec-background-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sec-background-framework"/>
    <w:p>
      <w:pPr>
        <w:pStyle w:val="Heading2"/>
      </w:pPr>
      <w:r>
        <w:t xml:space="preserve">1.3 Modeling Framework</w:t>
      </w:r>
    </w:p>
    <w:p>
      <w:pPr>
        <w:pStyle w:val="FirstParagraph"/>
      </w:pPr>
      <w:r>
        <w:rPr>
          <w:b/>
          <w:bCs/>
        </w:rPr>
        <w:t xml:space="preserve">Stock Synthesis V3.30.22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(Panulirus argus), and the SEDAR 80 assessments for Queen Triggerfish (Balistes vetula)</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rPr>
          <w:b/>
          <w:bCs/>
        </w:rPr>
        <w:t xml:space="preserve">Landings</w:t>
      </w:r>
      <w:r>
        <w:t xml:space="preserve"> </w:t>
      </w:r>
      <w:r>
        <w:t xml:space="preserve">from self-reported commercial fisher logbooks</w:t>
      </w:r>
      <w:r>
        <w:t xml:space="preserve"> </w:t>
      </w:r>
      <w:r>
        <w:t xml:space="preserve">(Martínez Rivera et al., 2024)</w:t>
      </w:r>
    </w:p>
    <w:p>
      <w:pPr>
        <w:pStyle w:val="Compact"/>
        <w:numPr>
          <w:ilvl w:val="0"/>
          <w:numId w:val="1002"/>
        </w:numPr>
      </w:pPr>
      <w:r>
        <w:rPr>
          <w:b/>
          <w:bCs/>
        </w:rPr>
        <w:t xml:space="preserve">Length compositions</w:t>
      </w:r>
      <w:r>
        <w:t xml:space="preserve"> </w:t>
      </w:r>
      <w:r>
        <w:t xml:space="preserve">from shore-based port sampling</w:t>
      </w:r>
      <w:r>
        <w:t xml:space="preserve"> </w:t>
      </w:r>
      <w:r>
        <w:t xml:space="preserve">(Godwin et al., 2024)</w:t>
      </w:r>
    </w:p>
    <w:p>
      <w:pPr>
        <w:pStyle w:val="Compact"/>
        <w:numPr>
          <w:ilvl w:val="0"/>
          <w:numId w:val="1002"/>
        </w:numPr>
      </w:pPr>
      <w:r>
        <w:rPr>
          <w:b/>
          <w:bCs/>
        </w:rPr>
        <w:t xml:space="preserve">Length compositions</w:t>
      </w:r>
      <w:r>
        <w:t xml:space="preserve"> </w:t>
      </w:r>
      <w:r>
        <w:t xml:space="preserve">from a fishery-independent survey of reef fish</w:t>
      </w:r>
      <w:r>
        <w:t xml:space="preserve"> </w:t>
      </w:r>
      <w:r>
        <w:t xml:space="preserve">(Grove et al., 2024)</w:t>
      </w:r>
    </w:p>
    <w:p>
      <w:pPr>
        <w:pStyle w:val="Compact"/>
        <w:numPr>
          <w:ilvl w:val="0"/>
          <w:numId w:val="1002"/>
        </w:numPr>
      </w:pPr>
      <w:r>
        <w:rPr>
          <w:b/>
          <w:bCs/>
        </w:rPr>
        <w:t xml:space="preserve">Index of abundance</w:t>
      </w:r>
      <w:r>
        <w:t xml:space="preserve"> </w:t>
      </w:r>
      <w:r>
        <w:t xml:space="preserve">from a fishery-independent survey of reef fish</w:t>
      </w:r>
      <w:r>
        <w:t xml:space="preserve"> </w:t>
      </w:r>
      <w:r>
        <w:t xml:space="preserve">(Grove et al., 2024)</w:t>
      </w:r>
    </w:p>
    <w:p>
      <w:pPr>
        <w:pStyle w:val="Compact"/>
        <w:numPr>
          <w:ilvl w:val="0"/>
          <w:numId w:val="1002"/>
        </w:numPr>
      </w:pPr>
      <w:r>
        <w:rPr>
          <w:b/>
          <w:bCs/>
        </w:rPr>
        <w:t xml:space="preserve">Life history information</w:t>
      </w:r>
      <w:r>
        <w:t xml:space="preserve"> </w:t>
      </w:r>
      <w:r>
        <w:t xml:space="preserve">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fleet, and one fishery-independent survey.</w:t>
      </w:r>
    </w:p>
    <w:bookmarkStart w:id="27" w:name="sec-data-fleet"/>
    <w:p>
      <w:pPr>
        <w:pStyle w:val="Heading2"/>
      </w:pPr>
      <w:r>
        <w:t xml:space="preserve">2.1 Commercial Fleet</w:t>
      </w:r>
    </w:p>
    <w:bookmarkStart w:id="25" w:name="sec-data-fleet-catch"/>
    <w:p>
      <w:pPr>
        <w:pStyle w:val="Heading3"/>
      </w:pPr>
      <w:r>
        <w:t xml:space="preserve">2.1.1 Catch Data</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6.1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thus, an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a 0.3.</w:t>
      </w:r>
      <w:r>
        <w:t xml:space="preserve"> </w:t>
      </w:r>
      <w:r>
        <w:t xml:space="preserve">When implemented with few data inputs, Stock synthesis will inherently nearly exactly fit the annual landings time series, regardless of the input standard error. Initial models were set up with a default standard error of 0.01. In addition to exactly fitting the annual landings time series, the models also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with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higher standard error of 2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These data were used to characterize the commercial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Before 2017, the data are calibrated to account for the transition from belt transect to the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and [6 - 11), were collapsed into a single bin [1 - 11).</w:t>
      </w:r>
    </w:p>
    <w:p>
      <w:pPr>
        <w:pStyle w:val="BodyText"/>
      </w:pPr>
      <w:r>
        <w:t xml:space="preserve">Since multiple fish can be observed from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data-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data-morphometric"/>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data-reproduction"/>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explicitly modeling numbers by sex and age over time, this approach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rPr>
          <w:b/>
          <w:bCs/>
        </w:rPr>
        <w:t xml:space="preserve">A second method for parameterizing hermaphroditism was explored as a sensitivity analysis.</w:t>
      </w:r>
      <w:r>
        <w:t xml:space="preserve"> </w:t>
      </w:r>
      <w:r>
        <w:t xml:space="preserve">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data-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data-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6.2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sec-data-summary"/>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sec-data-summary-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sec-data-summary-survey"/>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 5 centimeters), the model’s simulated population bin size was 1-centimeter bins.</w:t>
      </w:r>
    </w:p>
    <w:p>
      <w:pPr>
        <w:numPr>
          <w:ilvl w:val="0"/>
          <w:numId w:val="1011"/>
        </w:numPr>
      </w:pPr>
      <w:r>
        <w:t xml:space="preserve">The smallest two bins, [1-6) and [6-11), were collapsed into a single bin [1-11).</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sec-data-summary-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0.27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catch time series and compositions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6.3</w:t>
        </w:r>
      </w:hyperlink>
      <w:r>
        <w:t xml:space="preserve"> </w:t>
      </w:r>
      <w:r>
        <w:t xml:space="preserve">provides the shorthand naming conventions used for SEDAR 84 assessments of Caribbean stoplight parrotfish.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across the stoplight parrotfish and yellowtail snapper SEDAR 84 assessments included incorporating (a) indices, (b) annual fishery-independent size composition, (c) annual fishery-dependent size composition, (d) recruitment deviations, (e) dome-shaped selectivity, and (f) time blocks. Not all of these considerations were explored for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6.3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fishery in St. Croix. The initial setup steps and description of the modeling scenarios documented in this report are listed in</w:t>
      </w:r>
      <w:r>
        <w:t xml:space="preserve"> </w:t>
      </w:r>
      <w:hyperlink w:anchor="tbl-ss3-stxslp">
        <w:r>
          <w:rPr>
            <w:rStyle w:val="Hyperlink"/>
          </w:rPr>
          <w:t xml:space="preserve">Table 6.4</w:t>
        </w:r>
      </w:hyperlink>
      <w:r>
        <w:t xml:space="preserve">.</w:t>
      </w:r>
    </w:p>
    <w:p>
      <w:pPr>
        <w:pStyle w:val="BodyText"/>
      </w:pPr>
      <w:r>
        <w:t xml:space="preserve">The Stock Assessment Continuum Tool was used to develop the initial model setup by importing CSV input files and utilizing its user-friendly Shiny application interface (</w:t>
      </w:r>
      <w:r>
        <w:t xml:space="preserve">Cope (2024)</w:t>
      </w:r>
      <w:r>
        <w:t xml:space="preserve">). Starting from the Continuum Tool (ct) model, a series of sequential modifications were applied to represent three key biological and data-related complexities: hermaphroditism (m1), continuous recruitment (m2), and increased catch uncertainty (m3).</w:t>
      </w:r>
    </w:p>
    <w:p>
      <w:pPr>
        <w:pStyle w:val="BodyText"/>
      </w:pPr>
      <w:r>
        <w:t xml:space="preserve">This report focuses on the results and sensitivities associated with the m3 models, evaluated under the various data configurations described in the previous section. While a full discussion of sensitivity runs is provided later in the report, they are also summarized in</w:t>
      </w:r>
      <w:r>
        <w:t xml:space="preserve"> </w:t>
      </w:r>
      <w:hyperlink w:anchor="tbl-ss3-stxslp">
        <w:r>
          <w:rPr>
            <w:rStyle w:val="Hyperlink"/>
          </w:rPr>
          <w:t xml:space="preserve">Table 6.4</w:t>
        </w:r>
      </w:hyperlink>
      <w:r>
        <w:t xml:space="preserve"> </w:t>
      </w:r>
      <w:r>
        <w:t xml:space="preserve">to help familiarize the reader with the terminology used throughout. For instance, model</w:t>
      </w:r>
      <w:r>
        <w:t xml:space="preserve"> </w:t>
      </w:r>
      <w:r>
        <w:rPr>
          <w:b/>
          <w:bCs/>
        </w:rPr>
        <w:t xml:space="preserve">v1_m3_s4</w:t>
      </w:r>
      <w:r>
        <w:t xml:space="preserve"> </w:t>
      </w:r>
      <w:r>
        <w:t xml:space="preserve">refers to the first scenario variation (</w:t>
      </w:r>
      <w:r>
        <w:rPr>
          <w:b/>
          <w:bCs/>
        </w:rPr>
        <w:t xml:space="preserve">v1</w:t>
      </w:r>
      <w:r>
        <w:t xml:space="preserve">, which includes an index and annual fishery-independent size data), the third level modification (</w:t>
      </w:r>
      <w:r>
        <w:rPr>
          <w:b/>
          <w:bCs/>
        </w:rPr>
        <w:t xml:space="preserve">m3</w:t>
      </w:r>
      <w:r>
        <w:t xml:space="preserve">, reflecting hermaphroditism, continuous recruitment and higher catch uncertainty), and the fourth sensitivity scenario (</w:t>
      </w:r>
      <w:r>
        <w:rPr>
          <w:b/>
          <w:bCs/>
        </w:rPr>
        <w:t xml:space="preserve">s4</w:t>
      </w:r>
      <w:r>
        <w:t xml:space="preserve">, assuming one sex).</w:t>
      </w:r>
    </w:p>
    <w:bookmarkEnd w:id="42"/>
    <w:bookmarkEnd w:id="43"/>
    <w:bookmarkStart w:id="62"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However, all models showed high final gradients for F</w:t>
      </w:r>
      <w:r>
        <w:rPr>
          <w:vertAlign w:val="subscript"/>
        </w:rPr>
        <w:t xml:space="preserve">MSY</w:t>
      </w:r>
      <w:r>
        <w:t xml:space="preserve">, indicating poor convergence.</w:t>
      </w:r>
    </w:p>
    <w:p>
      <w:pPr>
        <w:pStyle w:val="BodyText"/>
      </w:pPr>
      <w:r>
        <w:t xml:space="preserve">Despite achieving a solution and having unbounded parameters, the gradient warning for F</w:t>
      </w:r>
      <w:r>
        <w:rPr>
          <w:vertAlign w:val="subscript"/>
        </w:rPr>
        <w:t xml:space="preserve">MSY</w:t>
      </w:r>
      <w:r>
        <w:t xml:space="preserve"> </w:t>
      </w:r>
      <w:r>
        <w:t xml:space="preserve">raise concerns about model stability. The following sections further explore the convergence issues by examining parameter correlations, variances, and likelihood profiles to identify factors contributing to poor convergence and potential inconsistencies in the data.</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_m2 model configurations (</w:t>
      </w:r>
      <w:hyperlink w:anchor="tbl-corr">
        <w:r>
          <w:rPr>
            <w:rStyle w:val="Hyperlink"/>
          </w:rPr>
          <w:t xml:space="preserve">Table 6.5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_m1 and _m2 models,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6.6</w:t>
        </w:r>
      </w:hyperlink>
      <w:r>
        <w:t xml:space="preserve">). This adjustment reduced the overly strong correlation between Initial F and R0 by relaxing the constraint on initial fishing mortality.</w:t>
      </w:r>
    </w:p>
    <w:p>
      <w:pPr>
        <w:pStyle w:val="BodyText"/>
      </w:pPr>
      <w:r>
        <w:t xml:space="preserve">Most models showed moderately high correlations (&gt; 0.90) between the two parameters used to define logistic selectivity: the size at peak selectivity and the width of the ascending limb. Correlations between these selectivity parameters are expected. While estimated values varied slightly among models, they produced similar size-based selectivity curves for the commercial fleet (</w:t>
      </w:r>
      <w:r>
        <w:rPr>
          <w:i/>
          <w:iCs/>
        </w:rPr>
        <w:t xml:space="preserve">ADD SELECTIVITY FIGURE</w:t>
      </w:r>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6.7</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r>
        <w:t xml:space="preserve"> </w:t>
      </w:r>
      <w:r>
        <w:rPr>
          <w:b/>
          <w:bCs/>
        </w:rPr>
        <w:t xml:space="preserve">?@fig-r0</w:t>
      </w:r>
      <w:r>
        <w:t xml:space="preserve"> </w:t>
      </w:r>
      <w:r>
        <w:t xml:space="preserve">illustrates how the estimate and uncertainty for the unfished recruitment (R0) changes throughout the sequential steps of model development. The uncertainty in response surface for key parameters are further examined later in the report using likelihood profiles.</w:t>
      </w:r>
    </w:p>
    <w:p>
      <w:pPr>
        <w:pStyle w:val="BodyText"/>
      </w:pPr>
      <w:r>
        <w:t xml:space="preserve">Stock Synthesis also provides estimates and standard deviations for derived quantities such as annual and unfished spawning biomass depletion (as a fraction of unfished spawning biomass).</w:t>
      </w:r>
      <w:r>
        <w:t xml:space="preserve"> </w:t>
      </w:r>
      <w:hyperlink w:anchor="tbl-dq">
        <w:r>
          <w:rPr>
            <w:rStyle w:val="Hyperlink"/>
          </w:rPr>
          <w:t xml:space="preserve">Table 6.8</w:t>
        </w:r>
      </w:hyperlink>
      <w:r>
        <w:t xml:space="preserve"> </w:t>
      </w:r>
      <w:r>
        <w:t xml:space="preserve">shows this information and it is also plotted in</w:t>
      </w:r>
      <w:r>
        <w:t xml:space="preserve"> </w:t>
      </w:r>
      <w:r>
        <w:rPr>
          <w:b/>
          <w:bCs/>
        </w:rPr>
        <w:t xml:space="preserve">?@fig-ssb</w:t>
      </w:r>
      <w:r>
        <w:t xml:space="preserve"> </w:t>
      </w:r>
      <w:r>
        <w:t xml:space="preserve">and</w:t>
      </w:r>
      <w:r>
        <w:t xml:space="preserve"> </w:t>
      </w:r>
      <w:r>
        <w:rPr>
          <w:b/>
          <w:bCs/>
        </w:rPr>
        <w:t xml:space="preserve">?@fig-ssb-ratio</w:t>
      </w:r>
      <w:r>
        <w:t xml:space="preserve">.</w:t>
      </w:r>
    </w:p>
    <w:p>
      <w:pPr>
        <w:pStyle w:val="BodyText"/>
      </w:pPr>
      <w:r>
        <w:t xml:space="preserve">Compared to the other m3 models, Model v3_m2 had extremely highest uncertainty for fishing mortality and other derived quantities (</w:t>
      </w:r>
      <w:r>
        <w:rPr>
          <w:b/>
          <w:bCs/>
        </w:rPr>
        <w:t xml:space="preserve">?@fig-f</w:t>
      </w:r>
      <w:r>
        <w:t xml:space="preserve">). The configurations for models v3_m2 and v7_m2 include estimation of recruitment deviations, the high uncertainty resulting from these model scenarios is expected due to the data limited nature of the data inputs. (</w:t>
      </w:r>
      <w:r>
        <w:rPr>
          <w:i/>
          <w:iCs/>
        </w:rPr>
        <w:t xml:space="preserve">ADD MORE HERE ABOUT THE PLOTS</w:t>
      </w:r>
      <w:r>
        <w:t xml:space="preserv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7.5</w:t>
        </w:r>
      </w:hyperlink>
      <w:r>
        <w:t xml:space="preserve">). Importantly, no jitter runs produced a lower likelihood than the best fit already identified for each model. (</w:t>
      </w:r>
      <w:r>
        <w:rPr>
          <w:i/>
          <w:iCs/>
        </w:rPr>
        <w:t xml:space="preserve">RERUN AND INCREASE JITTER</w:t>
      </w:r>
      <w:r>
        <w:t xml:space="preserve">)</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 positive or negative residual patterns indicate poor model performance and potential unaccounted-for process or observation error.</w:t>
      </w:r>
    </w:p>
    <w:p>
      <w:pPr>
        <w:pStyle w:val="BodyText"/>
      </w:pPr>
      <w:hyperlink w:anchor="fig-cpue">
        <w:r>
          <w:rPr>
            <w:rStyle w:val="Hyperlink"/>
          </w:rPr>
          <w:t xml:space="preserve">Figure 7.6</w:t>
        </w:r>
      </w:hyperlink>
      <w:r>
        <w:t xml:space="preserve"> </w:t>
      </w:r>
      <w:hyperlink w:anchor="fig-lenfit">
        <w:r>
          <w:rPr>
            <w:rStyle w:val="Hyperlink"/>
          </w:rPr>
          <w:t xml:space="preserve">Figure 7.7</w:t>
        </w:r>
      </w:hyperlink>
      <w:r>
        <w:t xml:space="preserve"> </w:t>
      </w:r>
      <w:r>
        <w:rPr>
          <w:b/>
          <w:bCs/>
        </w:rPr>
        <w:t xml:space="preserve">?@fig-lenfit-ncrmp</w:t>
      </w:r>
      <w:r>
        <w:t xml:space="preserve"> </w:t>
      </w:r>
      <w:r>
        <w:rPr>
          <w:b/>
          <w:bCs/>
        </w:rPr>
        <w:t xml:space="preserve">?@fig-meanlen-ncrmp</w:t>
      </w:r>
    </w:p>
    <w:p>
      <w:pPr>
        <w:pStyle w:val="BodyText"/>
      </w:pPr>
      <w:r>
        <w:t xml:space="preserve">(</w:t>
      </w:r>
      <w:r>
        <w:rPr>
          <w:i/>
          <w:iCs/>
        </w:rPr>
        <w:t xml:space="preserve">ADD MORE HERE ABOUT THE PLOTS</w:t>
      </w:r>
      <w:r>
        <w:t xml:space="preserve">)</w:t>
      </w:r>
    </w:p>
    <w:bookmarkStart w:id="48" w:name="catch"/>
    <w:p>
      <w:pPr>
        <w:pStyle w:val="Heading3"/>
      </w:pPr>
      <w:r>
        <w:t xml:space="preserve">4.5.1 Catch</w:t>
      </w:r>
    </w:p>
    <w:p>
      <w:pPr>
        <w:pStyle w:val="FirstParagraph"/>
      </w:pPr>
      <w:r>
        <w:t xml:space="preserve">All models closely matched the observed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catch to 0.3 was to give the model more flexibility in estimating initial fishing mortality. This adjustment allowed the model to explore alternative fits while still remaining reasonable. This topic will also be revisited in the sensitivity analyses, where model runs with a lower catch standard error of 0.1 are compared. (</w:t>
      </w:r>
      <w:r>
        <w:rPr>
          <w:i/>
          <w:iCs/>
        </w:rPr>
        <w:t xml:space="preserve">ADD PLOTS SHOWING EXACT ESTIMATE OF CATCH</w:t>
      </w:r>
      <w:r>
        <w:t xml:space="preserve">)</w:t>
      </w:r>
    </w:p>
    <w:bookmarkEnd w:id="48"/>
    <w:bookmarkStart w:id="49" w:name="indices"/>
    <w:p>
      <w:pPr>
        <w:pStyle w:val="Heading3"/>
      </w:pPr>
      <w:r>
        <w:t xml:space="preserve">4.5.2 Indices</w:t>
      </w:r>
    </w:p>
    <w:p>
      <w:pPr>
        <w:pStyle w:val="FirstParagraph"/>
      </w:pPr>
      <w:r>
        <w:t xml:space="preserve">For the models without recruitment deviation being estimated (models b_m2, and v1_m2), the predicted National Coral Reef Monitoring Program index is flat (</w:t>
      </w:r>
      <w:hyperlink w:anchor="fig-cpue">
        <w:r>
          <w:rPr>
            <w:rStyle w:val="Hyperlink"/>
          </w:rPr>
          <w:t xml:space="preserve">Figure 7.6</w:t>
        </w:r>
      </w:hyperlink>
      <w:r>
        <w:t xml:space="preserve">). In the models with estimated recruitment deviations, there is some improved fit to the index, whereby the slightly improved fits. Notably, the error rate was higher in 2014 and 2015, and none of models fit well to the highest value observed in 2015 (</w:t>
      </w:r>
      <w:hyperlink w:anchor="fig-cpue">
        <w:r>
          <w:rPr>
            <w:rStyle w:val="Hyperlink"/>
          </w:rPr>
          <w:t xml:space="preserve">Figure 7.6</w:t>
        </w:r>
      </w:hyperlink>
      <w:r>
        <w:t xml:space="preserve">).</w:t>
      </w:r>
    </w:p>
    <w:bookmarkEnd w:id="49"/>
    <w:bookmarkStart w:id="50" w:name="length-compositions"/>
    <w:p>
      <w:pPr>
        <w:pStyle w:val="Heading3"/>
      </w:pPr>
      <w:r>
        <w:t xml:space="preserve">4.5.3 Length compositions</w:t>
      </w:r>
    </w:p>
    <w:p>
      <w:pPr>
        <w:pStyle w:val="FirstParagraph"/>
      </w:pPr>
      <w:r>
        <w:t xml:space="preserve">The model fits to the length composition across all years are provided in</w:t>
      </w:r>
      <w:r>
        <w:t xml:space="preserve"> </w:t>
      </w:r>
      <w:hyperlink w:anchor="fig-lenfit">
        <w:r>
          <w:rPr>
            <w:rStyle w:val="Hyperlink"/>
          </w:rPr>
          <w:t xml:space="preserve">Figure 7.7</w:t>
        </w:r>
      </w:hyperlink>
      <w:r>
        <w:t xml:space="preserve">. For the models without recruitment deviation being estimated (models b_m2, and v1_m2), the fits to the annual National Coral Reef Monitoring Program length composition data shown in</w:t>
      </w:r>
      <w:r>
        <w:t xml:space="preserve"> </w:t>
      </w:r>
      <w:r>
        <w:rPr>
          <w:b/>
          <w:bCs/>
        </w:rPr>
        <w:t xml:space="preserve">?@fig-lenfit-ncrmp</w:t>
      </w:r>
      <w:r>
        <w:t xml:space="preserve"> </w:t>
      </w:r>
      <w:r>
        <w:t xml:space="preserve">were poor compared to those across all years and in</w:t>
      </w:r>
      <w:r>
        <w:t xml:space="preserve"> </w:t>
      </w:r>
      <w:hyperlink w:anchor="fig-lenfit">
        <w:r>
          <w:rPr>
            <w:rStyle w:val="Hyperlink"/>
          </w:rPr>
          <w:t xml:space="preserve">Figure 7.7</w:t>
        </w:r>
      </w:hyperlink>
      <w:r>
        <w:t xml:space="preserve">. In these scenarios, the predicted composition is similar across years, which leads to overestimating the proportion of the smallest size and underestimating intermediate or large sizes in 2012, 2017, and 2021.</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7.12</w:t>
        </w:r>
      </w:hyperlink>
      <w:r>
        <w:t xml:space="preserve">. When more than 3 years are removed, the estimates of key quantities change. The sensitivity of the results to the removal of 2019 and 2018 data, is likely the result truncating the fishery-independent National Coral Reef Monitoring program index to end in 2017, corresponding with the highest observed value (</w:t>
      </w:r>
      <w:hyperlink w:anchor="fig-cpue">
        <w:r>
          <w:rPr>
            <w:rStyle w:val="Hyperlink"/>
          </w:rPr>
          <w:t xml:space="preserve">Figure 7.6</w:t>
        </w:r>
      </w:hyperlink>
      <w:r>
        <w:t xml:space="preserve">). Particularly the severity of the retrospective pattern is most severe in the scenarios with recruitment deviations, models v3_m2 and v7_m2, with Mohn’s rho statistics, 0.2 and 0.51, respectively.</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initial equilibrium catch, steepness, and virgin recruitment (R0).</w:t>
      </w:r>
    </w:p>
    <w:bookmarkStart w:id="53" w:name="steepness"/>
    <w:p>
      <w:pPr>
        <w:pStyle w:val="Heading3"/>
      </w:pPr>
      <w:r>
        <w:t xml:space="preserve">4.7.1 Steepness</w:t>
      </w:r>
    </w:p>
    <w:p>
      <w:pPr>
        <w:pStyle w:val="FirstParagraph"/>
      </w:pPr>
      <w:hyperlink w:anchor="fig-profile-k">
        <w:r>
          <w:rPr>
            <w:rStyle w:val="Hyperlink"/>
          </w:rPr>
          <w:t xml:space="preserve">Figure 7.17</w:t>
        </w:r>
      </w:hyperlink>
    </w:p>
    <w:bookmarkEnd w:id="53"/>
    <w:bookmarkStart w:id="54" w:name="unfished-recruitment-r0"/>
    <w:p>
      <w:pPr>
        <w:pStyle w:val="Heading3"/>
      </w:pPr>
      <w:r>
        <w:t xml:space="preserve">4.7.2 Unfished Recruitment (R0)</w:t>
      </w:r>
    </w:p>
    <w:p>
      <w:pPr>
        <w:pStyle w:val="FirstParagraph"/>
      </w:pPr>
      <w:hyperlink w:anchor="fig-profile-r0">
        <w:r>
          <w:rPr>
            <w:rStyle w:val="Hyperlink"/>
          </w:rPr>
          <w:t xml:space="preserve">Figure 7.13</w:t>
        </w:r>
      </w:hyperlink>
    </w:p>
    <w:bookmarkEnd w:id="54"/>
    <w:bookmarkStart w:id="55" w:name="initial-equilibrium-catch"/>
    <w:p>
      <w:pPr>
        <w:pStyle w:val="Heading3"/>
      </w:pPr>
      <w:r>
        <w:t xml:space="preserve">4.7.3 Initial Equilibrium Catch</w:t>
      </w:r>
    </w:p>
    <w:p>
      <w:pPr>
        <w:pStyle w:val="FirstParagraph"/>
      </w:pPr>
      <w:hyperlink w:anchor="fig-profile-eqcatch">
        <w:r>
          <w:rPr>
            <w:rStyle w:val="Hyperlink"/>
          </w:rPr>
          <w:t xml:space="preserve">Figure 7.15</w:t>
        </w:r>
      </w:hyperlink>
    </w:p>
    <w:bookmarkEnd w:id="55"/>
    <w:bookmarkEnd w:id="56"/>
    <w:bookmarkStart w:id="61" w:name="sensitivity-runs"/>
    <w:p>
      <w:pPr>
        <w:pStyle w:val="Heading2"/>
      </w:pPr>
      <w:r>
        <w:t xml:space="preserve">4.8 Sensitivity Runs</w:t>
      </w:r>
    </w:p>
    <w:p>
      <w:pPr>
        <w:pStyle w:val="FirstParagraph"/>
      </w:pPr>
      <w:r>
        <w:t xml:space="preserve">Sensitivity analyses were considered to evaluate the impact on key derived quantities. Sensitivities included considering alternatives for the CV on growth, the standard error associated with catch, the maximum age, the method used to model hermaphroditism and data weighting.</w:t>
      </w:r>
    </w:p>
    <w:bookmarkStart w:id="57" w:name="growth-cv"/>
    <w:p>
      <w:pPr>
        <w:pStyle w:val="Heading3"/>
      </w:pPr>
      <w:r>
        <w:t xml:space="preserve">4.8.1 Growth CV</w:t>
      </w:r>
    </w:p>
    <w:bookmarkEnd w:id="57"/>
    <w:bookmarkStart w:id="58" w:name="natural-mortality"/>
    <w:p>
      <w:pPr>
        <w:pStyle w:val="Heading3"/>
      </w:pPr>
      <w:r>
        <w:t xml:space="preserve">4.8.2 Natural Mortality</w:t>
      </w:r>
    </w:p>
    <w:bookmarkEnd w:id="58"/>
    <w:bookmarkStart w:id="59" w:name="single-sex-model"/>
    <w:p>
      <w:pPr>
        <w:pStyle w:val="Heading3"/>
      </w:pPr>
      <w:r>
        <w:t xml:space="preserve">4.8.3 Single Sex Model</w:t>
      </w:r>
    </w:p>
    <w:p>
      <w:pPr>
        <w:pStyle w:val="FirstParagraph"/>
      </w:pPr>
      <w:r>
        <w:t xml:space="preserve">The second method for parameterizing hermaphroditism involved using a female-only model and accounting for sex transition to males as a reduction in fecundity.</w:t>
      </w:r>
    </w:p>
    <w:bookmarkEnd w:id="59"/>
    <w:bookmarkStart w:id="60" w:name="standard-error-on-catch"/>
    <w:p>
      <w:pPr>
        <w:pStyle w:val="Heading3"/>
      </w:pPr>
      <w:r>
        <w:t xml:space="preserve">4.8.4 Standard Error on Catch</w:t>
      </w:r>
    </w:p>
    <w:bookmarkEnd w:id="60"/>
    <w:bookmarkEnd w:id="61"/>
    <w:bookmarkEnd w:id="62"/>
    <w:bookmarkStart w:id="63" w:name="discussion"/>
    <w:p>
      <w:pPr>
        <w:pStyle w:val="Heading1"/>
      </w:pPr>
      <w:r>
        <w:t xml:space="preserve">5. Discussion</w:t>
      </w:r>
    </w:p>
    <w:p>
      <w:pPr>
        <w:pStyle w:val="FirstParagraph"/>
      </w:pPr>
      <w:r>
        <w:t xml:space="preserve">The diagnostics presented in the report highlight various caveats, largely associated with the relatively few data inputs available for the present assessment. Furthermore, the data lack contrast, resulting in which parameters high uncertainty and flat solution spaces.</w:t>
      </w:r>
    </w:p>
    <w:p>
      <w:pPr>
        <w:pStyle w:val="BodyText"/>
      </w:pPr>
      <w:r>
        <w:t xml:space="preserve">These results indicate model structure discrepancies with models v3_m2 and v7_m2. These models lack information with which to base estimate of recruitment deviations (</w:t>
      </w:r>
      <w:r>
        <w:rPr>
          <w:b/>
          <w:bCs/>
        </w:rPr>
        <w:t xml:space="preserve">?@fig-recruits</w:t>
      </w:r>
      <w:r>
        <w:t xml:space="preserve">). Because the length data for model v3_m2 are aggregated across the available years, this model is most similar to an age structured production model. Although the recruitment deviations for model v3_m2 are small, the correlation between R0 and initial fishing mortality is still concerning particularly since the initial equilibrium fishing mortality profile showed very small changes in likelihood over a large range of equilibrium catch inputs.</w:t>
      </w:r>
    </w:p>
    <w:bookmarkEnd w:id="63"/>
    <w:bookmarkStart w:id="75" w:name="tables"/>
    <w:p>
      <w:pPr>
        <w:pStyle w:val="Heading1"/>
      </w:pPr>
      <w:r>
        <w:t xml:space="preserve">6. Tables</w:t>
      </w:r>
    </w:p>
    <w:tbl>
      <w:tblPr>
        <w:tblStyle w:val="Table"/>
        <w:tblW w:type="pct" w:w="5000"/>
        <w:tblLayout w:type="fixed"/>
        <w:tblLook w:firstRow="0" w:lastRow="0" w:firstColumn="0" w:lastColumn="0" w:noHBand="0" w:noVBand="0" w:val="0000"/>
      </w:tblPr>
      <w:tblGrid>
        <w:gridCol w:w="7920"/>
      </w:tblGrid>
      <w:tr>
        <w:tc>
          <w:tcPr/>
          <w:bookmarkStart w:id="64" w:name="tbl-catch"/>
          <w:p>
            <w:pPr>
              <w:jc w:val="center"/>
            </w:pPr>
            <w:pPr>
              <w:jc w:val="start"/>
              <w:spacing w:before="200"/>
              <w:pStyle w:val="ImageCaption"/>
            </w:pPr>
            <w:r>
              <w:t xml:space="preserve">Table 6.1: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 Gears</w:t>
                  </w:r>
                </w:p>
              </w:tc>
              <w:tc>
                <w:tcPr/>
                <w:p>
                  <w:pPr>
                    <w:pStyle w:val="Compact"/>
                    <w:jc w:val="right"/>
                    <w:jc w:val="center"/>
                  </w:pPr>
                  <w:r>
                    <w:t xml:space="preserve">Other Gears</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4"/>
          <w:p/>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tbl-m"/>
          <w:p>
            <w:pPr>
              <w:jc w:val="center"/>
            </w:pPr>
            <w:pPr>
              <w:jc w:val="start"/>
              <w:spacing w:before="200"/>
              <w:pStyle w:val="ImageCaption"/>
            </w:pPr>
            <w:r>
              <w:t xml:space="preserve">Table 6.2: Empirical estimates of natural mortality (M) can be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 All models included in this report utilize the natural mortality estimate of 0.27 corresponding with the maximum age observed by</w:t>
            </w:r>
            <w:r>
              <w:t xml:space="preserve"> </w:t>
            </w:r>
            <w:r>
              <w:t xml:space="preserve">Rivera Hernández &amp; Shervette (2024)</w:t>
            </w:r>
            <w:r>
              <w:t xml:space="preserve">, except three of the sensitivity scenarios (s2, s5, and s6) which utilize the 0.18 natural morality corresponding with the estimated maximum age from tagging studies by</w:t>
            </w:r>
            <w:r>
              <w:t xml:space="preserve"> </w:t>
            </w:r>
            <w:r>
              <w:t xml:space="preserve">Choat et al. (2003)</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t xml:space="preserve">0.180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Maximum age</w:t>
                  </w:r>
                </w:p>
              </w:tc>
              <w:tc>
                <w:tcPr/>
                <w:p>
                  <w:pPr>
                    <w:pStyle w:val="Compact"/>
                    <w:jc w:val="center"/>
                    <w:jc w:val="center"/>
                  </w:pPr>
                  <w:r>
                    <w:rPr>
                      <w:b/>
                      <w:bCs/>
                    </w:rPr>
                    <w:t xml:space="preserve">20</w:t>
                  </w:r>
                </w:p>
              </w:tc>
              <w:tc>
                <w:tcPr/>
                <w:p>
                  <w:pPr>
                    <w:pStyle w:val="Compact"/>
                    <w:jc w:val="center"/>
                    <w:jc w:val="center"/>
                  </w:pPr>
                  <w:r>
                    <w:rPr>
                      <w:b/>
                      <w:bCs/>
                    </w:rPr>
                    <w:t xml:space="preserve">0.270</w:t>
                  </w:r>
                </w:p>
              </w:tc>
              <w:tc>
                <w:tcPr/>
                <w:p>
                  <w:pPr>
                    <w:pStyle w:val="Compact"/>
                    <w:jc w:val="left"/>
                    <w:jc w:val="center"/>
                  </w:pPr>
                  <w: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5"/>
          <w:p/>
        </w:tc>
      </w:tr>
    </w:tbl>
    <w:p>
      <w:r>
        <w:br w:type="page"/>
      </w:r>
    </w:p>
    <w:tbl>
      <w:tblPr>
        <w:tblStyle w:val="Table"/>
        <w:tblW w:type="pct" w:w="5000"/>
        <w:tblLayout w:type="fixed"/>
        <w:tblLook w:firstRow="0" w:lastRow="0" w:firstColumn="0" w:lastColumn="0" w:noHBand="0" w:noVBand="0" w:val="0000"/>
      </w:tblPr>
      <w:tblGrid>
        <w:gridCol w:w="7920"/>
      </w:tblGrid>
      <w:tr>
        <w:tc>
          <w:tcPr/>
          <w:bookmarkStart w:id="66" w:name="tbl-overview"/>
          <w:p>
            <w:pPr>
              <w:jc w:val="center"/>
            </w:pPr>
            <w:pPr>
              <w:jc w:val="start"/>
              <w:spacing w:before="200"/>
              <w:pStyle w:val="ImageCaption"/>
            </w:pPr>
            <w:r>
              <w:t xml:space="preserve">Table 6.3: Summary of process and naming conventions used for SEDAR 84 assessments describing model development noting the simplest data-limited configuration, exploring individual data-moderate considerations, individually and combined. The models focused on in the current report are associated with the codes in bold.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rPr>
                      <w:b/>
                      <w:bCs/>
                    </w:rPr>
                    <w:t xml:space="preserve">Data-moderate</w:t>
                  </w:r>
                </w:p>
              </w:tc>
              <w:tc>
                <w:tcPr/>
                <w:p>
                  <w:pPr>
                    <w:pStyle w:val="Compact"/>
                    <w:jc w:val="center"/>
                    <w:jc w:val="center"/>
                  </w:pPr>
                  <w:r>
                    <w:rPr>
                      <w:b/>
                      <w:bCs/>
                    </w:rPr>
                    <w:t xml:space="preserve">a</w:t>
                  </w:r>
                </w:p>
              </w:tc>
              <w:tc>
                <w:tcPr/>
                <w:p>
                  <w:pPr>
                    <w:pStyle w:val="Compact"/>
                    <w:jc w:val="center"/>
                  </w:pPr>
                  <w:r>
                    <w:rPr>
                      <w:b/>
                      <w:bCs/>
                    </w:rPr>
                    <w:t xml:space="preserve">index</w:t>
                  </w:r>
                </w:p>
              </w:tc>
            </w:tr>
            <w:tr>
              <w:tc>
                <w:tcPr/>
                <w:p>
                  <w:pPr>
                    <w:pStyle w:val="Compact"/>
                    <w:jc w:val="center"/>
                  </w:pPr>
                  <w:r>
                    <w:rPr>
                      <w:b/>
                      <w:bCs/>
                    </w:rPr>
                    <w:t xml:space="preserve">Data-moderate</w:t>
                  </w:r>
                </w:p>
              </w:tc>
              <w:tc>
                <w:tcPr/>
                <w:p>
                  <w:pPr>
                    <w:pStyle w:val="Compact"/>
                    <w:jc w:val="center"/>
                    <w:jc w:val="center"/>
                  </w:pPr>
                  <w:r>
                    <w:rPr>
                      <w:b/>
                      <w:bCs/>
                    </w:rPr>
                    <w:t xml:space="preserve">b</w:t>
                  </w:r>
                </w:p>
              </w:tc>
              <w:tc>
                <w:tcPr/>
                <w:p>
                  <w:pPr>
                    <w:pStyle w:val="Compact"/>
                    <w:jc w:val="center"/>
                  </w:pPr>
                  <w:r>
                    <w:rPr>
                      <w:b/>
                      <w:bCs/>
                    </w:rPr>
                    <w:t xml:space="preserve">annual fishery-independent size data</w:t>
                  </w:r>
                </w:p>
              </w:tc>
            </w:tr>
            <w:tr>
              <w:tc>
                <w:tcPr/>
                <w:p>
                  <w:pPr>
                    <w:pStyle w:val="Compact"/>
                    <w:jc w:val="center"/>
                  </w:pPr>
                  <w:r>
                    <w:t xml:space="preserve">Data-moderate</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rPr>
                      <w:b/>
                      <w:bCs/>
                    </w:rPr>
                    <w:t xml:space="preserve">Variation 1</w:t>
                  </w:r>
                </w:p>
              </w:tc>
              <w:tc>
                <w:tcPr/>
                <w:p>
                  <w:pPr>
                    <w:pStyle w:val="Compact"/>
                    <w:jc w:val="center"/>
                    <w:jc w:val="center"/>
                  </w:pPr>
                  <w:r>
                    <w:rPr>
                      <w:b/>
                      <w:bCs/>
                    </w:rPr>
                    <w:t xml:space="preserve">v1</w:t>
                  </w:r>
                </w:p>
              </w:tc>
              <w:tc>
                <w:tcPr/>
                <w:p>
                  <w:pPr>
                    <w:pStyle w:val="Compact"/>
                    <w:jc w:val="center"/>
                  </w:pPr>
                  <w:r>
                    <w:rPr>
                      <w:b/>
                      <w:bCs/>
                    </w:rPr>
                    <w:t xml:space="preserve">a + b</w:t>
                  </w:r>
                </w:p>
              </w:tc>
            </w:tr>
            <w:tr>
              <w:tc>
                <w:tcPr/>
                <w:p>
                  <w:pPr>
                    <w:pStyle w:val="Compact"/>
                    <w:jc w:val="center"/>
                  </w:pPr>
                  <w:r>
                    <w:t xml:space="preserve">Variation 2</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rPr>
                      <w:b/>
                      <w:bCs/>
                    </w:rPr>
                    <w:t xml:space="preserve">Variation</w:t>
                  </w:r>
                  <w:r>
                    <w:t xml:space="preserve"> </w:t>
                  </w:r>
                  <w:r>
                    <w:t xml:space="preserve">3</w:t>
                  </w:r>
                </w:p>
              </w:tc>
              <w:tc>
                <w:tcPr/>
                <w:p>
                  <w:pPr>
                    <w:pStyle w:val="Compact"/>
                    <w:jc w:val="center"/>
                    <w:jc w:val="center"/>
                  </w:pPr>
                  <w:r>
                    <w:rPr>
                      <w:b/>
                      <w:bCs/>
                    </w:rPr>
                    <w:t xml:space="preserve">v3</w:t>
                  </w:r>
                </w:p>
              </w:tc>
              <w:tc>
                <w:tcPr/>
                <w:p>
                  <w:pPr>
                    <w:pStyle w:val="Compact"/>
                    <w:jc w:val="center"/>
                  </w:pPr>
                  <w:r>
                    <w:rPr>
                      <w:b/>
                      <w:bCs/>
                    </w:rPr>
                    <w:t xml:space="preserve">a + d</w:t>
                  </w:r>
                </w:p>
              </w:tc>
            </w:tr>
            <w:tr>
              <w:tc>
                <w:tcPr/>
                <w:p>
                  <w:pPr>
                    <w:pStyle w:val="Compact"/>
                    <w:jc w:val="center"/>
                  </w:pPr>
                  <w:r>
                    <w:t xml:space="preserve">Variation 4</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Variation 5</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Variation 6</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rPr>
                      <w:b/>
                      <w:bCs/>
                    </w:rPr>
                    <w:t xml:space="preserve">Variation</w:t>
                  </w:r>
                  <w:r>
                    <w:t xml:space="preserve"> </w:t>
                  </w:r>
                  <w:r>
                    <w:t xml:space="preserve">7</w:t>
                  </w:r>
                </w:p>
              </w:tc>
              <w:tc>
                <w:tcPr/>
                <w:p>
                  <w:pPr>
                    <w:pStyle w:val="Compact"/>
                    <w:jc w:val="center"/>
                    <w:jc w:val="center"/>
                  </w:pPr>
                  <w:r>
                    <w:rPr>
                      <w:b/>
                      <w:bCs/>
                    </w:rPr>
                    <w:t xml:space="preserve">v7</w:t>
                  </w:r>
                </w:p>
              </w:tc>
              <w:tc>
                <w:tcPr/>
                <w:p>
                  <w:pPr>
                    <w:pStyle w:val="Compact"/>
                    <w:jc w:val="center"/>
                  </w:pPr>
                  <w:r>
                    <w:rPr>
                      <w:b/>
                      <w:bCs/>
                    </w:rPr>
                    <w:t xml:space="preserve">a + b + d</w:t>
                  </w:r>
                </w:p>
              </w:tc>
            </w:tr>
            <w:tr>
              <w:tc>
                <w:tcPr/>
                <w:p>
                  <w:pPr>
                    <w:pStyle w:val="Compact"/>
                    <w:jc w:val="center"/>
                  </w:pPr>
                  <w:r>
                    <w:t xml:space="preserve">Variation 8</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Variation 9</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Variation 10</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Variation 11</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Variation 12</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Variation 13</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Variation 14</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Variation 15</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Variation 16</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Variation 17</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Variation 18</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Variation 19</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Variation 20</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Variation 21</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Variation 22</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Variation 23</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Variation 24</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Variation 25</w:t>
                  </w:r>
                </w:p>
              </w:tc>
              <w:tc>
                <w:tcPr/>
                <w:p>
                  <w:pPr>
                    <w:pStyle w:val="Compact"/>
                    <w:jc w:val="center"/>
                    <w:jc w:val="center"/>
                  </w:pPr>
                  <w:r>
                    <w:t xml:space="preserve">v25</w:t>
                  </w:r>
                </w:p>
              </w:tc>
              <w:tc>
                <w:tcPr/>
                <w:p>
                  <w:pPr>
                    <w:pStyle w:val="Compact"/>
                    <w:jc w:val="center"/>
                  </w:pPr>
                  <w:r>
                    <w:t xml:space="preserve">a + b + c + d + e + f</w:t>
                  </w:r>
                </w:p>
              </w:tc>
            </w:tr>
          </w:tbl>
          <w:bookmarkEnd w:id="6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7" w:name="tbl-ss3-stxslp"/>
          <w:p>
            <w:pPr>
              <w:jc w:val="center"/>
            </w:pPr>
            <w:pPr>
              <w:jc w:val="start"/>
              <w:spacing w:before="200"/>
              <w:pStyle w:val="ImageCaption"/>
            </w:pPr>
            <w:r>
              <w:t xml:space="preserve">Table 6.4: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t xml:space="preserve">Initial</w:t>
                  </w:r>
                </w:p>
              </w:tc>
              <w:tc>
                <w:tcPr/>
                <w:p>
                  <w:pPr>
                    <w:pStyle w:val="Compact"/>
                    <w:jc w:val="center"/>
                    <w:jc w:val="center"/>
                  </w:pPr>
                  <w:r>
                    <w:rPr>
                      <w:b/>
                      <w:bCs/>
                    </w:rPr>
                    <w:t xml:space="preserve">m3</w:t>
                  </w:r>
                </w:p>
              </w:tc>
              <w:tc>
                <w:tcPr/>
                <w:p>
                  <w:pPr>
                    <w:pStyle w:val="Compact"/>
                    <w:jc w:val="center"/>
                  </w:pPr>
                  <w: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Scenario</w:t>
                  </w:r>
                </w:p>
              </w:tc>
              <w:tc>
                <w:tcPr/>
                <w:p>
                  <w:pPr>
                    <w:pStyle w:val="Compact"/>
                    <w:jc w:val="center"/>
                    <w:jc w:val="center"/>
                  </w:pPr>
                  <w:r>
                    <w:rPr>
                      <w:b/>
                      <w:bCs/>
                    </w:rP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rPr>
                      <w:b/>
                      <w:bCs/>
                    </w:rP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rPr>
                      <w:b/>
                      <w:bCs/>
                    </w:rP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rPr>
                      <w:b/>
                      <w:bCs/>
                    </w:rP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rPr>
                      <w:b/>
                      <w:bCs/>
                    </w:rP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t xml:space="preserve">Sensitivity</w:t>
                  </w:r>
                </w:p>
              </w:tc>
              <w:tc>
                <w:tcPr/>
                <w:p>
                  <w:pPr>
                    <w:pStyle w:val="Compact"/>
                    <w:jc w:val="center"/>
                    <w:jc w:val="center"/>
                  </w:pPr>
                  <w:r>
                    <w:rPr>
                      <w:b/>
                      <w:bCs/>
                    </w:rPr>
                    <w:t xml:space="preserve">s4</w:t>
                  </w:r>
                </w:p>
              </w:tc>
              <w:tc>
                <w:tcPr/>
                <w:p>
                  <w:pPr>
                    <w:pStyle w:val="Compact"/>
                    <w:jc w:val="center"/>
                  </w:pPr>
                  <w:r>
                    <w:t xml:space="preserve">higher catch uncertainty</w:t>
                  </w:r>
                </w:p>
              </w:tc>
            </w:tr>
            <w:tr>
              <w:tc>
                <w:tcPr/>
                <w:p>
                  <w:pPr>
                    <w:pStyle w:val="Compact"/>
                    <w:jc w:val="center"/>
                  </w:pPr>
                  <w:r>
                    <w:t xml:space="preserve">Sensitivity</w:t>
                  </w:r>
                </w:p>
              </w:tc>
              <w:tc>
                <w:tcPr/>
                <w:p>
                  <w:pPr>
                    <w:pStyle w:val="Compact"/>
                    <w:jc w:val="center"/>
                    <w:jc w:val="center"/>
                  </w:pPr>
                  <w:r>
                    <w:rPr>
                      <w:b/>
                      <w:bCs/>
                    </w:rPr>
                    <w:t xml:space="preserve">s5</w:t>
                  </w:r>
                </w:p>
              </w:tc>
              <w:tc>
                <w:tcPr/>
                <w:p>
                  <w:pPr>
                    <w:pStyle w:val="Compact"/>
                    <w:jc w:val="center"/>
                  </w:pPr>
                  <w:r>
                    <w:t xml:space="preserve">s2 + s4</w:t>
                  </w:r>
                </w:p>
              </w:tc>
            </w:tr>
            <w:tr>
              <w:tc>
                <w:tcPr/>
                <w:p>
                  <w:pPr>
                    <w:pStyle w:val="Compact"/>
                    <w:jc w:val="center"/>
                  </w:pPr>
                  <w:r>
                    <w:t xml:space="preserve">Sensitivity</w:t>
                  </w:r>
                </w:p>
              </w:tc>
              <w:tc>
                <w:tcPr/>
                <w:p>
                  <w:pPr>
                    <w:pStyle w:val="Compact"/>
                    <w:jc w:val="center"/>
                    <w:jc w:val="center"/>
                  </w:pPr>
                  <w:r>
                    <w:t xml:space="preserve">s6</w:t>
                  </w:r>
                </w:p>
              </w:tc>
              <w:tc>
                <w:tcPr/>
                <w:p>
                  <w:pPr>
                    <w:pStyle w:val="Compact"/>
                    <w:jc w:val="center"/>
                  </w:pPr>
                  <w:r>
                    <w:t xml:space="preserve">s2 + s3 + s4</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corr"/>
          <w:p>
            <w:pPr>
              <w:jc w:val="center"/>
            </w:pPr>
            <w:pPr>
              <w:jc w:val="start"/>
              <w:spacing w:before="200"/>
              <w:pStyle w:val="ImageCaption"/>
            </w:pPr>
            <w:r>
              <w:t xml:space="preserve">Table 6.5: St. Croix stoplight parrotfish correlations between estimated parameters across the m2 and m3 model variations.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68"/>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eqcatch"/>
          <w:p>
            <w:pPr>
              <w:jc w:val="center"/>
            </w:pPr>
            <w:pPr>
              <w:jc w:val="start"/>
              <w:spacing w:before="200"/>
              <w:pStyle w:val="ImageCaption"/>
            </w:pPr>
            <w:r>
              <w:t xml:space="preserve">Table 6.6: St. Croix stoplight parrotfish estimated initial equilibrium catch in metric tons by model variation including across sensitivity runs.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r>
            <w:tr>
              <w:trPr>
                <w:trHeight w:val="777" w:hRule="auto"/>
              </w:trPr>
              body7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r>
              <w:trPr>
                <w:trHeight w:val="777" w:hRule="auto"/>
              </w:trPr>
              body8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bl>
          <w:bookmarkEnd w:id="69"/>
        </w:tc>
      </w:tr>
    </w:tbl>
    <w:p>
      <w:r>
        <w:br w:type="page"/>
      </w:r>
    </w:p>
    <w:tbl>
      <w:tblPr>
        <w:tblStyle w:val="Table"/>
        <w:tblW w:type="pct" w:w="5000"/>
        <w:tblLayout w:type="fixed"/>
        <w:tblLook w:firstRow="0" w:lastRow="0" w:firstColumn="0" w:lastColumn="0" w:noHBand="0" w:noVBand="0" w:val="0000"/>
      </w:tblPr>
      <w:tblGrid>
        <w:gridCol w:w="7920"/>
      </w:tblGrid>
      <w:tr>
        <w:tc>
          <w:tcPr/>
          <w:bookmarkStart w:id="70" w:name="tbl-parm"/>
          <w:p>
            <w:pPr>
              <w:jc w:val="center"/>
            </w:pPr>
            <w:pPr>
              <w:jc w:val="start"/>
              <w:spacing w:before="200"/>
              <w:pStyle w:val="ImageCaption"/>
            </w:pPr>
            <w:r>
              <w:t xml:space="preserve">Table 6.7: St. Croix stoplight parrotfish parameters, standard deviations (SD), and coefficient of variation (CV) by model varation (a_m3, b_m3, v1_m3, v3_m3, and v7_m3).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gridCol w:w="1254"/>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Gradient</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-4.0e-06</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1.1e-05</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1.9e-05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1.6e-05</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-1.1e-05</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4.1e-06</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-1.6e-05</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-5.9e-05</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-1.4e-05</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1.3e-05</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2.5e-06</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-9.4e-06</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-3.3e-05</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1.4e-05</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1.3e-05</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-5.9e-06</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1.4e-06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7.8e-06</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-2.0e-05</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7.2e-06</w:t>
                  </w:r>
                </w:p>
              </w:tc>
            </w:tr>
          </w:tbl>
          <w:bookmarkEnd w:id="70"/>
        </w:tc>
      </w:tr>
    </w:tbl>
    <w:tbl>
      <w:tblPr>
        <w:tblStyle w:val="Table"/>
        <w:tblW w:type="pct" w:w="5000"/>
        <w:tblLayout w:type="fixed"/>
        <w:tblLook w:firstRow="0" w:lastRow="0" w:firstColumn="0" w:lastColumn="0" w:noHBand="0" w:noVBand="0" w:val="0000"/>
      </w:tblPr>
      <w:tblGrid>
        <w:gridCol w:w="7920"/>
      </w:tblGrid>
      <w:tr>
        <w:tc>
          <w:tcPr/>
          <w:bookmarkStart w:id="71" w:name="tbl-dq"/>
          <w:p>
            <w:pPr>
              <w:jc w:val="center"/>
            </w:pPr>
            <w:pPr>
              <w:jc w:val="start"/>
              <w:spacing w:before="200"/>
              <w:pStyle w:val="ImageCaption"/>
            </w:pPr>
            <w:r>
              <w:t xml:space="preserve">Table 6.8: St. Croix stoplight parrotfish derived quantities for unfished and initial spawning stock biomass in metric tons (mt) along with standard deviations (SD) and coefficient of variation (CV) by model varation (a_m3, b_m3, v1_m3, v3_m3, and v7_m3).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32"/>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736"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736"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736"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est-msy"/>
          <w:p>
            <w:pPr>
              <w:jc w:val="center"/>
            </w:pPr>
            <w:pPr>
              <w:jc w:val="start"/>
              <w:spacing w:before="200"/>
              <w:pStyle w:val="ImageCaption"/>
            </w:pPr>
            <w:r>
              <w:t xml:space="preserve">Table 6.9: St. Croix stoplight parrotfish derived quantities of the MSY proxy (based on SPR 40%) in metric tons by model varation (a_m3, b_m3, v1_m3, v3_m3, and v7_m3) and corresponding each model variation’s six sensititivy runs. CV is calculated as the SD divided by the parameter estimate. Estimates of the MSY proxy are also presented in pounds in</w:t>
            </w:r>
            <w:r>
              <w:t xml:space="preserve"> </w:t>
            </w:r>
            <w:hyperlink w:anchor="tbl-msy">
              <w:r>
                <w:rPr>
                  <w:rStyle w:val="Hyperlink"/>
                </w:rPr>
                <w:t xml:space="preserve">Table 6.10</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266"/>
              <w:gridCol w:w="961"/>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trHeight w:val="613" w:hRule="auto"/>
              </w:trPr>
              body31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body34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body36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body37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613" w:hRule="auto"/>
              </w:trPr>
              body39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613" w:hRule="auto"/>
              </w:trPr>
              body40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msy"/>
          <w:p>
            <w:pPr>
              <w:jc w:val="center"/>
            </w:pPr>
            <w:pPr>
              <w:jc w:val="start"/>
              <w:spacing w:before="200"/>
              <w:pStyle w:val="ImageCaption"/>
            </w:pPr>
            <w:r>
              <w:t xml:space="preserve">Table 6.10: St. Croix stoplight parrotfish derived quantities of the MSY proxy (based on SPR 40%) in pounds by model varation (a_m3, b_m3, v1_m3, v3_m3, and v7_m3) and corresponding each model variation’s six sensititivy runs.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49,915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22,241</w:t>
                  </w:r>
                </w:p>
              </w:tc>
            </w:tr>
            <w:tr>
              <w:trPr>
                <w:trHeight w:val="613" w:hRule="auto"/>
              </w:trPr>
              body7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16,333</w:t>
                  </w:r>
                </w:p>
              </w:tc>
            </w:tr>
            <w:tr>
              <w:trPr>
                <w:trHeight w:val="613" w:hRule="auto"/>
              </w:trPr>
              body8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16,856</w:t>
                  </w:r>
                </w:p>
              </w:tc>
            </w:tr>
          </w:tbl>
          <w:bookmarkEnd w:id="73"/>
        </w:tc>
      </w:tr>
    </w:tbl>
    <w:p>
      <w:r>
        <w:br w:type="page"/>
      </w:r>
    </w:p>
    <w:tbl>
      <w:tblPr>
        <w:tblStyle w:val="Table"/>
        <w:tblW w:type="pct" w:w="5000"/>
        <w:tblLayout w:type="fixed"/>
        <w:tblLook w:firstRow="0" w:lastRow="0" w:firstColumn="0" w:lastColumn="0" w:noHBand="0" w:noVBand="0" w:val="0000"/>
      </w:tblPr>
      <w:tblGrid>
        <w:gridCol w:w="7920"/>
      </w:tblGrid>
      <w:tr>
        <w:tc>
          <w:tcPr/>
          <w:bookmarkStart w:id="74" w:name="tbl-spr-f"/>
          <w:p>
            <w:pPr>
              <w:jc w:val="center"/>
            </w:pPr>
            <w:pPr>
              <w:jc w:val="start"/>
              <w:spacing w:before="200"/>
              <w:pStyle w:val="ImageCaption"/>
            </w:pPr>
            <w:r>
              <w:t xml:space="preserve">Table 6.11: St. Croix stoplight parrotfish fishing mortality rate and spawning stock biomass ratios relative to the rate and biomass of the stock associated with the MSY proxy (based on SPR 40%). The relative fishing mortality ratio is expressed as a three-year geometric mean of the annual fishing mortality rates for 2020-2022 divided by the fishing mortality rate associated with MSY SPR 40%. Relative fishing mortality rates that are above one are shown in red font. The relative stock biomass ratio is expressed as the 2022 spawning biomass divided by the spawning stock biomass at MSY SPR 40%. Relative fishing mortality ratios that are below one are shown in red font.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40"/>
              <w:gridCol w:w="1279"/>
              <w:gridCol w:w="839"/>
              <w:gridCol w:w="839"/>
              <w:gridCol w:w="839"/>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Metric</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57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 Current / F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57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3"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0.41</w:t>
                  </w:r>
                </w:p>
              </w:tc>
            </w:tr>
            <w:tr>
              <w:trPr>
                <w:trHeight w:val="613"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r>
            <w:tr>
              <w:trPr>
                <w:trHeight w:val="613"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 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613"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w:t>
                  </w:r>
                </w:p>
              </w:tc>
            </w:tr>
            <w:tr>
              <w:trPr>
                <w:trHeight w:val="577" w:hRule="auto"/>
              </w:trPr>
              body 9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2022 / SSB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w:t>
                  </w:r>
                </w:p>
              </w:tc>
            </w:tr>
            <w:tr>
              <w:trPr>
                <w:trHeight w:val="57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w:t>
                  </w:r>
                </w:p>
              </w:tc>
            </w:tr>
            <w:tr>
              <w:trPr>
                <w:trHeight w:val="613" w:hRule="auto"/>
              </w:trPr>
              body11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r>
            <w:tr>
              <w:trPr>
                <w:trHeight w:val="613" w:hRule="auto"/>
              </w:trPr>
              body16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r>
          </w:tbl>
          <w:bookmarkEnd w:id="74"/>
        </w:tc>
      </w:tr>
    </w:tbl>
    <w:bookmarkEnd w:id="75"/>
    <w:bookmarkStart w:id="341" w:name="figures"/>
    <w:p>
      <w:pPr>
        <w:pStyle w:val="Heading1"/>
      </w:pPr>
      <w:r>
        <w:t xml:space="preserve">7. Figures</w:t>
      </w:r>
    </w:p>
    <w:tbl>
      <w:tblPr>
        <w:tblStyle w:val="Table"/>
        <w:tblW w:type="pct" w:w="5000"/>
        <w:tblLayout w:type="fixed"/>
        <w:tblLook w:firstRow="0" w:lastRow="0" w:firstColumn="0" w:lastColumn="0" w:noHBand="0" w:noVBand="0" w:val="0000"/>
      </w:tblPr>
      <w:tblGrid>
        <w:gridCol w:w="7920"/>
      </w:tblGrid>
      <w:tr>
        <w:tc>
          <w:tcPr/>
          <w:bookmarkStart w:id="79" w:name="fig-uscar"/>
          <w:p>
            <w:pPr>
              <w:pStyle w:val="Compact"/>
              <w:jc w:val="center"/>
            </w:pPr>
            <w:r>
              <w:drawing>
                <wp:inline>
                  <wp:extent cx="4206240" cy="5441823"/>
                  <wp:effectExtent b="0" l="0" r="0" t="0"/>
                  <wp:docPr descr="" title="" id="77" name="Picture"/>
                  <a:graphic>
                    <a:graphicData uri="http://schemas.openxmlformats.org/drawingml/2006/picture">
                      <pic:pic>
                        <pic:nvPicPr>
                          <pic:cNvPr descr="https://www.fisheries.noaa.gov/s3//styles/original/s3/dam-migration/island_group_management_areas.jpg?itok=5wvkxme2" id="78" name="Picture"/>
                          <pic:cNvPicPr>
                            <a:picLocks noChangeArrowheads="1" noChangeAspect="1"/>
                          </pic:cNvPicPr>
                        </pic:nvPicPr>
                        <pic:blipFill>
                          <a:blip r:embed="rId76"/>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Jurisdictional boundaries of the Caribbean Fishery Management Council.</w:t>
            </w:r>
          </w:p>
          <w:bookmarkEnd w:id="7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3" w:name="fig-eez"/>
          <w:p>
            <w:pPr>
              <w:pStyle w:val="Compact"/>
              <w:jc w:val="center"/>
            </w:pPr>
            <w:r>
              <w:drawing>
                <wp:inline>
                  <wp:extent cx="5486400" cy="4238244"/>
                  <wp:effectExtent b="0" l="0" r="0" t="0"/>
                  <wp:docPr descr="" title="" id="81" name="Picture"/>
                  <a:graphic>
                    <a:graphicData uri="http://schemas.openxmlformats.org/drawingml/2006/picture">
                      <pic:pic>
                        <pic:nvPicPr>
                          <pic:cNvPr descr="https://www.fisheries.noaa.gov/s3//styles/original/s3/dam-migration/carib_map_stx.jpg?itok=yeYHZ8gy" id="82" name="Picture"/>
                          <pic:cNvPicPr>
                            <a:picLocks noChangeArrowheads="1" noChangeAspect="1"/>
                          </pic:cNvPicPr>
                        </pic:nvPicPr>
                        <pic:blipFill>
                          <a:blip r:embed="rId80"/>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3"/>
        </w:tc>
      </w:tr>
    </w:tbl>
    <w:p>
      <w:pPr>
        <w:pStyle w:val="BodyText"/>
      </w:pPr>
      <w:r>
        <w:t xml:space="preserve"> </w:t>
      </w:r>
    </w:p>
    <w:bookmarkStart w:id="92"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7" w:name="fig-m3-r0"/>
                <w:p>
                  <w:pPr>
                    <w:pStyle w:val="Compact"/>
                    <w:jc w:val="center"/>
                    <w:jc w:val="left"/>
                  </w:pPr>
                  <w:r>
                    <w:drawing>
                      <wp:inline>
                        <wp:extent cx="2971800" cy="2228850"/>
                        <wp:effectExtent b="0" l="0" r="0" t="0"/>
                        <wp:docPr descr="" title="" id="85" name="Picture"/>
                        <a:graphic>
                          <a:graphicData uri="http://schemas.openxmlformats.org/drawingml/2006/picture">
                            <pic:pic>
                              <pic:nvPicPr>
                                <pic:cNvPr descr="Scenarios/plots_m3/compare16_densities_SR_LN(R0).png" id="86" name="Picture"/>
                                <pic:cNvPicPr>
                                  <a:picLocks noChangeArrowheads="1" noChangeAspect="1"/>
                                </pic:cNvPicPr>
                              </pic:nvPicPr>
                              <pic:blipFill>
                                <a:blip r:embed="rId8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w:t>
                  </w:r>
                </w:p>
                <w:bookmarkEnd w:id="8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1" w:name="fig-m3-ssb-par"/>
                <w:p>
                  <w:pPr>
                    <w:pStyle w:val="Compact"/>
                    <w:jc w:val="center"/>
                    <w:jc w:val="left"/>
                  </w:pPr>
                  <w:r>
                    <w:drawing>
                      <wp:inline>
                        <wp:extent cx="2971800" cy="2228850"/>
                        <wp:effectExtent b="0" l="0" r="0" t="0"/>
                        <wp:docPr descr="" title="" id="89" name="Picture"/>
                        <a:graphic>
                          <a:graphicData uri="http://schemas.openxmlformats.org/drawingml/2006/picture">
                            <pic:pic>
                              <pic:nvPicPr>
                                <pic:cNvPr descr="Scenarios/plots_m3/compare16_densities_SSB_Virgin.png" id="90" name="Picture"/>
                                <pic:cNvPicPr>
                                  <a:picLocks noChangeArrowheads="1" noChangeAspect="1"/>
                                </pic:cNvPicPr>
                              </pic:nvPicPr>
                              <pic:blipFill>
                                <a:blip r:embed="rId8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1"/>
              </w:tc>
            </w:tr>
          </w:tbl>
          <w:p/>
        </w:tc>
      </w:tr>
    </w:tbl>
    <w:p>
      <w:pPr>
        <w:pStyle w:val="BodyText"/>
      </w:pPr>
      <w:pPr>
        <w:spacing w:before="200"/>
        <w:pStyle w:val="ImageCaption"/>
      </w:pPr>
      <w:r>
        <w:t xml:space="preserve">Figure 7.3: St. Croix stoplight parrotfish parameter distribution for (a) the natural log of the unfished recruitment parameter of the Beverton – Holt stock-recruit function and (b) virgin spawning stock biomass in metric tons across model variations (a_m3, b_m3, v1_m3, v3_m3, and v7_m3).</w:t>
      </w:r>
    </w:p>
    <w:bookmarkEnd w:id="92"/>
    <w:p>
      <w:pPr>
        <w:pStyle w:val="BodyText"/>
      </w:pPr>
      <w:r>
        <w:t xml:space="preserve"> </w:t>
      </w:r>
    </w:p>
    <w:bookmarkStart w:id="109"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6" w:name="fig-m3-ratio"/>
                <w:p>
                  <w:pPr>
                    <w:pStyle w:val="Compact"/>
                    <w:jc w:val="center"/>
                    <w:jc w:val="left"/>
                  </w:pPr>
                  <w:r>
                    <w:drawing>
                      <wp:inline>
                        <wp:extent cx="2971800" cy="2228850"/>
                        <wp:effectExtent b="0" l="0" r="0" t="0"/>
                        <wp:docPr descr="" title="" id="94" name="Picture"/>
                        <a:graphic>
                          <a:graphicData uri="http://schemas.openxmlformats.org/drawingml/2006/picture">
                            <pic:pic>
                              <pic:nvPicPr>
                                <pic:cNvPr descr="Scenarios/plots_m3_plain/compare4_Bratio_uncertainty.png" id="95" name="Picture"/>
                                <pic:cNvPicPr>
                                  <a:picLocks noChangeArrowheads="1" noChangeAspect="1"/>
                                </pic:cNvPicPr>
                              </pic:nvPicPr>
                              <pic:blipFill>
                                <a:blip r:embed="rId9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0" w:name="fig-m3-ssb"/>
                <w:p>
                  <w:pPr>
                    <w:pStyle w:val="Compact"/>
                    <w:jc w:val="center"/>
                    <w:jc w:val="left"/>
                  </w:pPr>
                  <w:r>
                    <w:drawing>
                      <wp:inline>
                        <wp:extent cx="2971800" cy="2228850"/>
                        <wp:effectExtent b="0" l="0" r="0" t="0"/>
                        <wp:docPr descr="" title="" id="98" name="Picture"/>
                        <a:graphic>
                          <a:graphicData uri="http://schemas.openxmlformats.org/drawingml/2006/picture">
                            <pic:pic>
                              <pic:nvPicPr>
                                <pic:cNvPr descr="Scenarios/plots_m3_plain/compare2_spawnbio_uncertainty.png" id="99" name="Picture"/>
                                <pic:cNvPicPr>
                                  <a:picLocks noChangeArrowheads="1" noChangeAspect="1"/>
                                </pic:cNvPicPr>
                              </pic:nvPicPr>
                              <pic:blipFill>
                                <a:blip r:embed="rId9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10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4" w:name="fig-m3-f"/>
                <w:p>
                  <w:pPr>
                    <w:pStyle w:val="Compact"/>
                    <w:jc w:val="center"/>
                    <w:jc w:val="left"/>
                  </w:pPr>
                  <w:r>
                    <w:drawing>
                      <wp:inline>
                        <wp:extent cx="2971800" cy="2228850"/>
                        <wp:effectExtent b="0" l="0" r="0" t="0"/>
                        <wp:docPr descr="" title="" id="102" name="Picture"/>
                        <a:graphic>
                          <a:graphicData uri="http://schemas.openxmlformats.org/drawingml/2006/picture">
                            <pic:pic>
                              <pic:nvPicPr>
                                <pic:cNvPr descr="Scenarios/plots_m3/compare8_Fvalue_uncertainty.png" id="103" name="Picture"/>
                                <pic:cNvPicPr>
                                  <a:picLocks noChangeArrowheads="1" noChangeAspect="1"/>
                                </pic:cNvPicPr>
                              </pic:nvPicPr>
                              <pic:blipFill>
                                <a:blip r:embed="rId10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0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8" w:name="fig-m3-recruits"/>
                <w:p>
                  <w:pPr>
                    <w:pStyle w:val="Compact"/>
                    <w:jc w:val="center"/>
                    <w:jc w:val="left"/>
                  </w:pPr>
                  <w:r>
                    <w:drawing>
                      <wp:inline>
                        <wp:extent cx="2971800" cy="2228850"/>
                        <wp:effectExtent b="0" l="0" r="0" t="0"/>
                        <wp:docPr descr="" title="" id="106" name="Picture"/>
                        <a:graphic>
                          <a:graphicData uri="http://schemas.openxmlformats.org/drawingml/2006/picture">
                            <pic:pic>
                              <pic:nvPicPr>
                                <pic:cNvPr descr="Scenarios/plots_m3_plain/compare10_recruits_uncertainty.png" id="107" name="Picture"/>
                                <pic:cNvPicPr>
                                  <a:picLocks noChangeArrowheads="1" noChangeAspect="1"/>
                                </pic:cNvPicPr>
                              </pic:nvPicPr>
                              <pic:blipFill>
                                <a:blip r:embed="rId10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08"/>
              </w:tc>
            </w:tr>
          </w:tbl>
          <w:p/>
        </w:tc>
      </w:tr>
    </w:tbl>
    <w:p>
      <w:pPr>
        <w:pStyle w:val="BodyText"/>
      </w:pPr>
      <w:pPr>
        <w:spacing w:before="200"/>
        <w:pStyle w:val="ImageCaption"/>
      </w:pPr>
      <w:r>
        <w:t xml:space="preserve">Figure 7.4: St. Croix stoplight parrotfish derived quantity time series across model variations (a_m3, b_m3, v1_m3, v3_m3, and v7_m3).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109"/>
    <w:p>
      <w:pPr>
        <w:pStyle w:val="BodyText"/>
      </w:pPr>
      <w:r>
        <w:t xml:space="preserve"> </w:t>
      </w:r>
    </w:p>
    <w:bookmarkStart w:id="125"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566160" cy="3566160"/>
                  <wp:effectExtent b="0" l="0" r="0" t="0"/>
                  <wp:docPr descr="Model a_m3" title="" id="111" name="Picture"/>
                  <a:graphic>
                    <a:graphicData uri="http://schemas.openxmlformats.org/drawingml/2006/picture">
                      <pic:pic>
                        <pic:nvPicPr>
                          <pic:cNvPr descr="Scenarios/84_stx_f3_5cm_010641_0041_a_m3/diagnostics/jitter/Total_Likelihood.png" id="112" name="Picture"/>
                          <pic:cNvPicPr>
                            <a:picLocks noChangeArrowheads="1" noChangeAspect="1"/>
                          </pic:cNvPicPr>
                        </pic:nvPicPr>
                        <pic:blipFill>
                          <a:blip r:embed="rId110"/>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3566160" cy="3566160"/>
                  <wp:effectExtent b="0" l="0" r="0" t="0"/>
                  <wp:docPr descr="Model b_m3" title="" id="114" name="Picture"/>
                  <a:graphic>
                    <a:graphicData uri="http://schemas.openxmlformats.org/drawingml/2006/picture">
                      <pic:pic>
                        <pic:nvPicPr>
                          <pic:cNvPr descr="Scenarios/84_stx_f3_5cm_010641_0041_b_m3/diagnostics/jitter/Total_Likelihood.png" id="115" name="Picture"/>
                          <pic:cNvPicPr>
                            <a:picLocks noChangeArrowheads="1" noChangeAspect="1"/>
                          </pic:cNvPicPr>
                        </pic:nvPicPr>
                        <pic:blipFill>
                          <a:blip r:embed="rId113"/>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566160" cy="3566160"/>
                  <wp:effectExtent b="0" l="0" r="0" t="0"/>
                  <wp:docPr descr="Model v1_m3" title="" id="117" name="Picture"/>
                  <a:graphic>
                    <a:graphicData uri="http://schemas.openxmlformats.org/drawingml/2006/picture">
                      <pic:pic>
                        <pic:nvPicPr>
                          <pic:cNvPr descr="Scenarios/84_stx_f3_5cm_010641_0041_v1_m3/diagnostics/jitter/Total_Likelihood.png" id="118" name="Picture"/>
                          <pic:cNvPicPr>
                            <a:picLocks noChangeArrowheads="1" noChangeAspect="1"/>
                          </pic:cNvPicPr>
                        </pic:nvPicPr>
                        <pic:blipFill>
                          <a:blip r:embed="rId116"/>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3566160" cy="3566160"/>
                  <wp:effectExtent b="0" l="0" r="0" t="0"/>
                  <wp:docPr descr="Model v3_m3" title="" id="120" name="Picture"/>
                  <a:graphic>
                    <a:graphicData uri="http://schemas.openxmlformats.org/drawingml/2006/picture">
                      <pic:pic>
                        <pic:nvPicPr>
                          <pic:cNvPr descr="Scenarios/84_stx_f3_5cm_010641_0041_v3_m3/diagnostics/jitter/Total_Likelihood.png" id="121" name="Picture"/>
                          <pic:cNvPicPr>
                            <a:picLocks noChangeArrowheads="1" noChangeAspect="1"/>
                          </pic:cNvPicPr>
                        </pic:nvPicPr>
                        <pic:blipFill>
                          <a:blip r:embed="rId119"/>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566160" cy="3566160"/>
                  <wp:effectExtent b="0" l="0" r="0" t="0"/>
                  <wp:docPr descr="Model v7_m3" title="" id="123" name="Picture"/>
                  <a:graphic>
                    <a:graphicData uri="http://schemas.openxmlformats.org/drawingml/2006/picture">
                      <pic:pic>
                        <pic:nvPicPr>
                          <pic:cNvPr descr="Scenarios/84_stx_f3_5cm_010641_0041_v7_m3/diagnostics/jitter/Total_Likelihood.png" id="124" name="Picture"/>
                          <pic:cNvPicPr>
                            <a:picLocks noChangeArrowheads="1" noChangeAspect="1"/>
                          </pic:cNvPicPr>
                        </pic:nvPicPr>
                        <pic:blipFill>
                          <a:blip r:embed="rId122"/>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7.5: St. Croix stoplight parrotfish jitter analysis total likelihood across model variations (a_m3, b_m3, v1_m3, v3_m3, and v7_m3). Each panel gives the results of 30 runs of the corresponding model variation where the starting parameter values for each run were randomly changed by 20% from each model’s predicted values using a uniform distribution in cumulative normal space.</w:t>
      </w:r>
    </w:p>
    <w:bookmarkEnd w:id="125"/>
    <w:p>
      <w:pPr>
        <w:pStyle w:val="BodyText"/>
      </w:pPr>
      <w:r>
        <w:t xml:space="preserve"> </w:t>
      </w:r>
    </w:p>
    <w:bookmarkStart w:id="138"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27" name="Picture"/>
                  <a:graphic>
                    <a:graphicData uri="http://schemas.openxmlformats.org/drawingml/2006/picture">
                      <pic:pic>
                        <pic:nvPicPr>
                          <pic:cNvPr descr="Scenarios/84_stx_f3_5cm_010641_0041_a_m3/plots/index2_cpuefit_NCRMP.png" id="128" name="Picture"/>
                          <pic:cNvPicPr>
                            <a:picLocks noChangeArrowheads="1" noChangeAspect="1"/>
                          </pic:cNvPicPr>
                        </pic:nvPicPr>
                        <pic:blipFill>
                          <a:blip r:embed="rId126"/>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30" name="Picture"/>
                  <a:graphic>
                    <a:graphicData uri="http://schemas.openxmlformats.org/drawingml/2006/picture">
                      <pic:pic>
                        <pic:nvPicPr>
                          <pic:cNvPr descr="Scenarios/84_stx_f3_5cm_010641_0041_v1_m3/plots/index2_cpuefit_NCRMP.png" id="131" name="Picture"/>
                          <pic:cNvPicPr>
                            <a:picLocks noChangeArrowheads="1" noChangeAspect="1"/>
                          </pic:cNvPicPr>
                        </pic:nvPicPr>
                        <pic:blipFill>
                          <a:blip r:embed="rId129"/>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33" name="Picture"/>
                  <a:graphic>
                    <a:graphicData uri="http://schemas.openxmlformats.org/drawingml/2006/picture">
                      <pic:pic>
                        <pic:nvPicPr>
                          <pic:cNvPr descr="Scenarios/84_stx_f3_5cm_010641_0041_v3_m3/plots/index2_cpuefit_NCRMP.png" id="134" name="Picture"/>
                          <pic:cNvPicPr>
                            <a:picLocks noChangeArrowheads="1" noChangeAspect="1"/>
                          </pic:cNvPicPr>
                        </pic:nvPicPr>
                        <pic:blipFill>
                          <a:blip r:embed="rId132"/>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36" name="Picture"/>
                  <a:graphic>
                    <a:graphicData uri="http://schemas.openxmlformats.org/drawingml/2006/picture">
                      <pic:pic>
                        <pic:nvPicPr>
                          <pic:cNvPr descr="Scenarios/84_stx_f3_5cm_010641_0041_v7_m3/plots/index2_cpuefit_NCRMP.png" id="137" name="Picture"/>
                          <pic:cNvPicPr>
                            <a:picLocks noChangeArrowheads="1" noChangeAspect="1"/>
                          </pic:cNvPicPr>
                        </pic:nvPicPr>
                        <pic:blipFill>
                          <a:blip r:embed="rId135"/>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7.6: St. Croix stoplight parrotfish National Coral Reef Monitoring Program observed (open circles) and predicted (blue line) indices of relative abundance and associated standard errors across model variations (a_m3, v1_m3, v3_m3, and v7_m3). Model variation b_m3 is not provided as it’s configuration does not include an index. Lines indicate 95% uncertainty interval around observed index values based on the model assumption of lognormal error. Model variation a_m3 and v1_m3 do not estimate recruitment deviations, while model variations v3_m3 and v7_m3 do.</w:t>
      </w:r>
    </w:p>
    <w:bookmarkEnd w:id="138"/>
    <w:p>
      <w:pPr>
        <w:pStyle w:val="BodyText"/>
      </w:pPr>
      <w:r>
        <w:t xml:space="preserve"> </w:t>
      </w:r>
    </w:p>
    <w:bookmarkStart w:id="145"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a_m3 across all years" title="" id="140" name="Picture"/>
                  <a:graphic>
                    <a:graphicData uri="http://schemas.openxmlformats.org/drawingml/2006/picture">
                      <pic:pic>
                        <pic:nvPicPr>
                          <pic:cNvPr descr="Scenarios/84_stx_f3_5cm_010641_0041_a_m3/plots/comp_lenfit__aggregated_across_time.png" id="141" name="Picture"/>
                          <pic:cNvPicPr>
                            <a:picLocks noChangeArrowheads="1" noChangeAspect="1"/>
                          </pic:cNvPicPr>
                        </pic:nvPicPr>
                        <pic:blipFill>
                          <a:blip r:embed="rId13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a_m3 across all years</w:t>
            </w:r>
          </w:p>
        </w:tc>
        <w:tc>
          <w:tcPr/>
          <w:p>
            <w:pPr>
              <w:pStyle w:val="CaptionedFigure"/>
              <w:jc w:val="left"/>
            </w:pPr>
            <w:r>
              <w:drawing>
                <wp:inline>
                  <wp:extent cx="3669832" cy="3669832"/>
                  <wp:effectExtent b="0" l="0" r="0" t="0"/>
                  <wp:docPr descr="v3_m3 across all years" title="" id="143" name="Picture"/>
                  <a:graphic>
                    <a:graphicData uri="http://schemas.openxmlformats.org/drawingml/2006/picture">
                      <pic:pic>
                        <pic:nvPicPr>
                          <pic:cNvPr descr="Scenarios/84_stx_f3_5cm_010641_0041_v3_m3/plots/comp_lenfit__aggregated_across_time.png" id="144" name="Picture"/>
                          <pic:cNvPicPr>
                            <a:picLocks noChangeArrowheads="1" noChangeAspect="1"/>
                          </pic:cNvPicPr>
                        </pic:nvPicPr>
                        <pic:blipFill>
                          <a:blip r:embed="rId142"/>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v3_m3 across all years</w:t>
            </w:r>
          </w:p>
        </w:tc>
      </w:tr>
    </w:tbl>
    <w:p>
      <w:pPr>
        <w:pStyle w:val="BodyText"/>
      </w:pPr>
      <w:pPr>
        <w:spacing w:before="200"/>
        <w:pStyle w:val="ImageCaption"/>
      </w:pPr>
      <w:r>
        <w:t xml:space="preserve">Figure 7.7: St. Croix stoplight parrotfish observed and predicted length distributions in centimeters aggregated across years for the Commercial and NCRMP length compositions for the (a) a_m3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 Since super years are utilized for the commercial fleet and the national coral reef monitoring survey in these model variations, the fits to annual data are not shown.</w:t>
      </w:r>
    </w:p>
    <w:bookmarkEnd w:id="145"/>
    <w:p>
      <w:pPr>
        <w:pStyle w:val="BodyText"/>
      </w:pPr>
      <w:r>
        <w:t xml:space="preserve"> </w:t>
      </w:r>
    </w:p>
    <w:bookmarkStart w:id="152" w:name="fig-lenfit-b"/>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across all years" title="" id="147" name="Picture"/>
                  <a:graphic>
                    <a:graphicData uri="http://schemas.openxmlformats.org/drawingml/2006/picture">
                      <pic:pic>
                        <pic:nvPicPr>
                          <pic:cNvPr descr="Scenarios/84_stx_f3_5cm_010641_0041_b_m3/plots/comp_lenfit__aggregated_across_time.png" id="148" name="Picture"/>
                          <pic:cNvPicPr>
                            <a:picLocks noChangeArrowheads="1" noChangeAspect="1"/>
                          </pic:cNvPicPr>
                        </pic:nvPicPr>
                        <pic:blipFill>
                          <a:blip r:embed="rId14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 across all years</w:t>
            </w:r>
          </w:p>
        </w:tc>
        <w:tc>
          <w:tcPr/>
          <w:p>
            <w:pPr>
              <w:pStyle w:val="CaptionedFigure"/>
              <w:jc w:val="left"/>
            </w:pPr>
            <w:r>
              <w:drawing>
                <wp:inline>
                  <wp:extent cx="1529096" cy="3058193"/>
                  <wp:effectExtent b="0" l="0" r="0" t="0"/>
                  <wp:docPr descr="b_m3 by year" title="" id="150" name="Picture"/>
                  <a:graphic>
                    <a:graphicData uri="http://schemas.openxmlformats.org/drawingml/2006/picture">
                      <pic:pic>
                        <pic:nvPicPr>
                          <pic:cNvPr descr="Scenarios/84_stx_f3_5cm_010641_0041_b_m3/plots/comp_lenfit_flt2mkt0_crop.png" id="151" name="Picture"/>
                          <pic:cNvPicPr>
                            <a:picLocks noChangeArrowheads="1" noChangeAspect="1"/>
                          </pic:cNvPicPr>
                        </pic:nvPicPr>
                        <pic:blipFill>
                          <a:blip r:embed="rId149"/>
                          <a:stretch>
                            <a:fillRect/>
                          </a:stretch>
                        </pic:blipFill>
                        <pic:spPr bwMode="auto">
                          <a:xfrm>
                            <a:off x="0" y="0"/>
                            <a:ext cx="1529096" cy="3058193"/>
                          </a:xfrm>
                          <a:prstGeom prst="rect">
                            <a:avLst/>
                          </a:prstGeom>
                          <a:noFill/>
                          <a:ln w="9525">
                            <a:noFill/>
                            <a:headEnd/>
                            <a:tailEnd/>
                          </a:ln>
                        </pic:spPr>
                      </pic:pic>
                    </a:graphicData>
                  </a:graphic>
                </wp:inline>
              </w:drawing>
            </w:r>
          </w:p>
          <w:p>
            <w:pPr>
              <w:pStyle w:val="ImageCaption"/>
              <w:jc w:val="left"/>
            </w:pPr>
            <w:r>
              <w:t xml:space="preserve">b_m3 by year</w:t>
            </w:r>
          </w:p>
        </w:tc>
      </w:tr>
    </w:tbl>
    <w:p>
      <w:pPr>
        <w:pStyle w:val="BodyText"/>
      </w:pPr>
      <w:pPr>
        <w:spacing w:before="200"/>
        <w:pStyle w:val="ImageCaption"/>
      </w:pPr>
      <w:r>
        <w:t xml:space="preserve">Figure 7.8: St. Croix stoplight parrotfish observed and predicted length distributions in centimeters (a) aggregated across years and (b) by year for the Commercial and NCRMP length compositions for the b_m3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52"/>
    <w:p>
      <w:pPr>
        <w:pStyle w:val="BodyText"/>
      </w:pPr>
      <w:r>
        <w:t xml:space="preserve"> </w:t>
      </w:r>
    </w:p>
    <w:bookmarkStart w:id="159" w:name="fig-lenfit-v1"/>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v1_m3 across all years" title="" id="154" name="Picture"/>
                  <a:graphic>
                    <a:graphicData uri="http://schemas.openxmlformats.org/drawingml/2006/picture">
                      <pic:pic>
                        <pic:nvPicPr>
                          <pic:cNvPr descr="Scenarios/84_stx_f3_5cm_010641_0041_v1_m3/plots/comp_lenfit__aggregated_across_time.png" id="155" name="Picture"/>
                          <pic:cNvPicPr>
                            <a:picLocks noChangeArrowheads="1" noChangeAspect="1"/>
                          </pic:cNvPicPr>
                        </pic:nvPicPr>
                        <pic:blipFill>
                          <a:blip r:embed="rId15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 across all years</w:t>
            </w:r>
          </w:p>
        </w:tc>
        <w:tc>
          <w:tcPr/>
          <w:p>
            <w:pPr>
              <w:pStyle w:val="CaptionedFigure"/>
              <w:jc w:val="left"/>
            </w:pPr>
            <w:r>
              <w:drawing>
                <wp:inline>
                  <wp:extent cx="1247743" cy="3061252"/>
                  <wp:effectExtent b="0" l="0" r="0" t="0"/>
                  <wp:docPr descr="v1_m3 by year" title="" id="157" name="Picture"/>
                  <a:graphic>
                    <a:graphicData uri="http://schemas.openxmlformats.org/drawingml/2006/picture">
                      <pic:pic>
                        <pic:nvPicPr>
                          <pic:cNvPr descr="Scenarios/84_stx_f3_5cm_010641_0041_v1_m3/plots/comp_lenfit_flt2mkt0_crop.png" id="158" name="Picture"/>
                          <pic:cNvPicPr>
                            <a:picLocks noChangeArrowheads="1" noChangeAspect="1"/>
                          </pic:cNvPicPr>
                        </pic:nvPicPr>
                        <pic:blipFill>
                          <a:blip r:embed="rId156"/>
                          <a:stretch>
                            <a:fillRect/>
                          </a:stretch>
                        </pic:blipFill>
                        <pic:spPr bwMode="auto">
                          <a:xfrm>
                            <a:off x="0" y="0"/>
                            <a:ext cx="1247743" cy="3061252"/>
                          </a:xfrm>
                          <a:prstGeom prst="rect">
                            <a:avLst/>
                          </a:prstGeom>
                          <a:noFill/>
                          <a:ln w="9525">
                            <a:noFill/>
                            <a:headEnd/>
                            <a:tailEnd/>
                          </a:ln>
                        </pic:spPr>
                      </pic:pic>
                    </a:graphicData>
                  </a:graphic>
                </wp:inline>
              </w:drawing>
            </w:r>
          </w:p>
          <w:p>
            <w:pPr>
              <w:pStyle w:val="ImageCaption"/>
              <w:jc w:val="left"/>
            </w:pPr>
            <w:r>
              <w:t xml:space="preserve">v1_m3 by year</w:t>
            </w:r>
          </w:p>
        </w:tc>
      </w:tr>
    </w:tbl>
    <w:p>
      <w:pPr>
        <w:pStyle w:val="BodyText"/>
      </w:pPr>
      <w:pPr>
        <w:spacing w:before="200"/>
        <w:pStyle w:val="ImageCaption"/>
      </w:pPr>
      <w:r>
        <w:t xml:space="preserve">Figure 7.9: St. Croix stoplight parrotfish observed and predicted length distributions in centimeters (a) aggregated across years and (b) by year for the Commercial and NCRMP length compositions for the v1_m3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59"/>
    <w:p>
      <w:pPr>
        <w:pStyle w:val="BodyText"/>
      </w:pPr>
      <w:r>
        <w:t xml:space="preserve"> </w:t>
      </w:r>
    </w:p>
    <w:bookmarkStart w:id="166" w:name="fig-lenfit-v7"/>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v7_m3 across all years" title="" id="161" name="Picture"/>
                  <a:graphic>
                    <a:graphicData uri="http://schemas.openxmlformats.org/drawingml/2006/picture">
                      <pic:pic>
                        <pic:nvPicPr>
                          <pic:cNvPr descr="Scenarios/84_stx_f3_5cm_010641_0041_v7_m3/plots/comp_lenfit__aggregated_across_time.png" id="162" name="Picture"/>
                          <pic:cNvPicPr>
                            <a:picLocks noChangeArrowheads="1" noChangeAspect="1"/>
                          </pic:cNvPicPr>
                        </pic:nvPicPr>
                        <pic:blipFill>
                          <a:blip r:embed="rId160"/>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 across all years</w:t>
            </w:r>
          </w:p>
        </w:tc>
        <w:tc>
          <w:tcPr/>
          <w:p>
            <w:pPr>
              <w:pStyle w:val="CaptionedFigure"/>
              <w:jc w:val="left"/>
            </w:pPr>
            <w:r>
              <w:drawing>
                <wp:inline>
                  <wp:extent cx="1195753" cy="3061252"/>
                  <wp:effectExtent b="0" l="0" r="0" t="0"/>
                  <wp:docPr descr="v7_m3 by year" title="" id="164" name="Picture"/>
                  <a:graphic>
                    <a:graphicData uri="http://schemas.openxmlformats.org/drawingml/2006/picture">
                      <pic:pic>
                        <pic:nvPicPr>
                          <pic:cNvPr descr="Scenarios/84_stx_f3_5cm_010641_0041_v7_m3/plots/comp_lenfit_flt2mkt0_crop.png" id="165" name="Picture"/>
                          <pic:cNvPicPr>
                            <a:picLocks noChangeArrowheads="1" noChangeAspect="1"/>
                          </pic:cNvPicPr>
                        </pic:nvPicPr>
                        <pic:blipFill>
                          <a:blip r:embed="rId163"/>
                          <a:stretch>
                            <a:fillRect/>
                          </a:stretch>
                        </pic:blipFill>
                        <pic:spPr bwMode="auto">
                          <a:xfrm>
                            <a:off x="0" y="0"/>
                            <a:ext cx="1195753" cy="3061252"/>
                          </a:xfrm>
                          <a:prstGeom prst="rect">
                            <a:avLst/>
                          </a:prstGeom>
                          <a:noFill/>
                          <a:ln w="9525">
                            <a:noFill/>
                            <a:headEnd/>
                            <a:tailEnd/>
                          </a:ln>
                        </pic:spPr>
                      </pic:pic>
                    </a:graphicData>
                  </a:graphic>
                </wp:inline>
              </w:drawing>
            </w:r>
          </w:p>
          <w:p>
            <w:pPr>
              <w:pStyle w:val="ImageCaption"/>
              <w:jc w:val="left"/>
            </w:pPr>
            <w:r>
              <w:t xml:space="preserve">v7_m3 by year</w:t>
            </w:r>
          </w:p>
        </w:tc>
      </w:tr>
    </w:tbl>
    <w:p>
      <w:pPr>
        <w:pStyle w:val="BodyText"/>
      </w:pPr>
      <w:pPr>
        <w:spacing w:before="200"/>
        <w:pStyle w:val="ImageCaption"/>
      </w:pPr>
      <w:r>
        <w:t xml:space="preserve">Figure 7.10: St. Croix stoplight parrotfish observed and predicted length distributions in centimeters (a) aggregated across years and (b) by year for the Commercial and NCRMP length compositions for the v7_m3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66"/>
    <w:p>
      <w:pPr>
        <w:pStyle w:val="BodyText"/>
      </w:pPr>
      <w:r>
        <w:t xml:space="preserve"> </w:t>
      </w:r>
    </w:p>
    <w:bookmarkStart w:id="176" w:name="fig-meanlen"/>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68" name="Picture"/>
                  <a:graphic>
                    <a:graphicData uri="http://schemas.openxmlformats.org/drawingml/2006/picture">
                      <pic:pic>
                        <pic:nvPicPr>
                          <pic:cNvPr descr="Scenarios/84_stx_f3_5cm_010641_0041_b_m3/plots/comp_lenfit_data_weighting_TA1-8_NCRMP.png" id="169" name="Picture"/>
                          <pic:cNvPicPr>
                            <a:picLocks noChangeArrowheads="1" noChangeAspect="1"/>
                          </pic:cNvPicPr>
                        </pic:nvPicPr>
                        <pic:blipFill>
                          <a:blip r:embed="rId167"/>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71" name="Picture"/>
                  <a:graphic>
                    <a:graphicData uri="http://schemas.openxmlformats.org/drawingml/2006/picture">
                      <pic:pic>
                        <pic:nvPicPr>
                          <pic:cNvPr descr="Scenarios/84_stx_f3_5cm_010641_0041_v1_m3/plots/comp_lenfit_data_weighting_TA1-8_NCRMP.png" id="172" name="Picture"/>
                          <pic:cNvPicPr>
                            <a:picLocks noChangeArrowheads="1" noChangeAspect="1"/>
                          </pic:cNvPicPr>
                        </pic:nvPicPr>
                        <pic:blipFill>
                          <a:blip r:embed="rId170"/>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74" name="Picture"/>
                  <a:graphic>
                    <a:graphicData uri="http://schemas.openxmlformats.org/drawingml/2006/picture">
                      <pic:pic>
                        <pic:nvPicPr>
                          <pic:cNvPr descr="Scenarios/84_stx_f3_5cm_010641_0041_v7_m3/plots/comp_lenfit_data_weighting_TA1-8_NCRMP.png" id="175" name="Picture"/>
                          <pic:cNvPicPr>
                            <a:picLocks noChangeArrowheads="1" noChangeAspect="1"/>
                          </pic:cNvPicPr>
                        </pic:nvPicPr>
                        <pic:blipFill>
                          <a:blip r:embed="rId17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7.11: St. Croix stoplight parrotfish observed (open circles) and predicted (blue line) mean length in centimeters by year across model variations that include annual fishery-independent data without recruitment deviations (b_m3, v1_m3) and with recruitment deviations (v7_m3).</w:t>
      </w:r>
    </w:p>
    <w:bookmarkEnd w:id="176"/>
    <w:p>
      <w:pPr>
        <w:pStyle w:val="BodyText"/>
      </w:pPr>
      <w:r>
        <w:t xml:space="preserve"> </w:t>
      </w:r>
    </w:p>
    <w:bookmarkStart w:id="192"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78" name="Picture"/>
                  <a:graphic>
                    <a:graphicData uri="http://schemas.openxmlformats.org/drawingml/2006/picture">
                      <pic:pic>
                        <pic:nvPicPr>
                          <pic:cNvPr descr="Scenarios/84_stx_f3_5cm_010641_0041_a_m3/diagnostics/retro/plots/retro_SSB.png" id="179" name="Picture"/>
                          <pic:cNvPicPr>
                            <a:picLocks noChangeArrowheads="1" noChangeAspect="1"/>
                          </pic:cNvPicPr>
                        </pic:nvPicPr>
                        <pic:blipFill>
                          <a:blip r:embed="rId17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81" name="Picture"/>
                  <a:graphic>
                    <a:graphicData uri="http://schemas.openxmlformats.org/drawingml/2006/picture">
                      <pic:pic>
                        <pic:nvPicPr>
                          <pic:cNvPr descr="Scenarios/84_stx_f3_5cm_010641_0041_b_m3/diagnostics/retro/plots/retro_SSB.png" id="182" name="Picture"/>
                          <pic:cNvPicPr>
                            <a:picLocks noChangeArrowheads="1" noChangeAspect="1"/>
                          </pic:cNvPicPr>
                        </pic:nvPicPr>
                        <pic:blipFill>
                          <a:blip r:embed="rId18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84" name="Picture"/>
                  <a:graphic>
                    <a:graphicData uri="http://schemas.openxmlformats.org/drawingml/2006/picture">
                      <pic:pic>
                        <pic:nvPicPr>
                          <pic:cNvPr descr="Scenarios/84_stx_f3_5cm_010641_0041_v1_m3/diagnostics/retro/plots/retro_SSB.png" id="185" name="Picture"/>
                          <pic:cNvPicPr>
                            <a:picLocks noChangeArrowheads="1" noChangeAspect="1"/>
                          </pic:cNvPicPr>
                        </pic:nvPicPr>
                        <pic:blipFill>
                          <a:blip r:embed="rId18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87" name="Picture"/>
                  <a:graphic>
                    <a:graphicData uri="http://schemas.openxmlformats.org/drawingml/2006/picture">
                      <pic:pic>
                        <pic:nvPicPr>
                          <pic:cNvPr descr="Scenarios/84_stx_f3_5cm_010641_0041_v3_m3/diagnostics/retro/plots/retro_SSB.png" id="188" name="Picture"/>
                          <pic:cNvPicPr>
                            <a:picLocks noChangeArrowheads="1" noChangeAspect="1"/>
                          </pic:cNvPicPr>
                        </pic:nvPicPr>
                        <pic:blipFill>
                          <a:blip r:embed="rId18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190" name="Picture"/>
                  <a:graphic>
                    <a:graphicData uri="http://schemas.openxmlformats.org/drawingml/2006/picture">
                      <pic:pic>
                        <pic:nvPicPr>
                          <pic:cNvPr descr="Scenarios/84_stx_f3_5cm_010641_0041_v7_m3/diagnostics/retro/plots/retro_SSB.png" id="191" name="Picture"/>
                          <pic:cNvPicPr>
                            <a:picLocks noChangeArrowheads="1" noChangeAspect="1"/>
                          </pic:cNvPicPr>
                        </pic:nvPicPr>
                        <pic:blipFill>
                          <a:blip r:embed="rId1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7.12: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denoted by color-coded dashed lines with terminal points. Grey shaded areas are the 95% confidence intervals.</w:t>
      </w:r>
    </w:p>
    <w:bookmarkEnd w:id="192"/>
    <w:p>
      <w:pPr>
        <w:pStyle w:val="BodyText"/>
      </w:pPr>
      <w:r>
        <w:t xml:space="preserve"> </w:t>
      </w:r>
    </w:p>
    <w:bookmarkStart w:id="208"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4" name="Picture"/>
                  <a:graphic>
                    <a:graphicData uri="http://schemas.openxmlformats.org/drawingml/2006/picture">
                      <pic:pic>
                        <pic:nvPicPr>
                          <pic:cNvPr descr="Scenarios/84_stx_f3_5cm_010641_0041_a_m3/diagnostics/profile_r0/profile_plot_likelihood.png" id="195" name="Picture"/>
                          <pic:cNvPicPr>
                            <a:picLocks noChangeArrowheads="1" noChangeAspect="1"/>
                          </pic:cNvPicPr>
                        </pic:nvPicPr>
                        <pic:blipFill>
                          <a:blip r:embed="rId19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7" name="Picture"/>
                  <a:graphic>
                    <a:graphicData uri="http://schemas.openxmlformats.org/drawingml/2006/picture">
                      <pic:pic>
                        <pic:nvPicPr>
                          <pic:cNvPr descr="Scenarios/84_stx_f3_5cm_010641_0041_b_m3/diagnostics/profile_r0/profile_plot_likelihood.png" id="198" name="Picture"/>
                          <pic:cNvPicPr>
                            <a:picLocks noChangeArrowheads="1" noChangeAspect="1"/>
                          </pic:cNvPicPr>
                        </pic:nvPicPr>
                        <pic:blipFill>
                          <a:blip r:embed="rId19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00" name="Picture"/>
                  <a:graphic>
                    <a:graphicData uri="http://schemas.openxmlformats.org/drawingml/2006/picture">
                      <pic:pic>
                        <pic:nvPicPr>
                          <pic:cNvPr descr="Scenarios/84_stx_f3_5cm_010641_0041_v1_m3/diagnostics/profile_r0/profile_plot_likelihood.png" id="201" name="Picture"/>
                          <pic:cNvPicPr>
                            <a:picLocks noChangeArrowheads="1" noChangeAspect="1"/>
                          </pic:cNvPicPr>
                        </pic:nvPicPr>
                        <pic:blipFill>
                          <a:blip r:embed="rId19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03" name="Picture"/>
                  <a:graphic>
                    <a:graphicData uri="http://schemas.openxmlformats.org/drawingml/2006/picture">
                      <pic:pic>
                        <pic:nvPicPr>
                          <pic:cNvPr descr="Scenarios/84_stx_f3_5cm_010641_0041_v3_m3/diagnostics/profile_r0/profile_plot_likelihood.png" id="204" name="Picture"/>
                          <pic:cNvPicPr>
                            <a:picLocks noChangeArrowheads="1" noChangeAspect="1"/>
                          </pic:cNvPicPr>
                        </pic:nvPicPr>
                        <pic:blipFill>
                          <a:blip r:embed="rId20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6" name="Picture"/>
                  <a:graphic>
                    <a:graphicData uri="http://schemas.openxmlformats.org/drawingml/2006/picture">
                      <pic:pic>
                        <pic:nvPicPr>
                          <pic:cNvPr descr="Scenarios/84_stx_f3_5cm_010641_0041_v7_m3/diagnostics/profile_r0/profile_plot_likelihood.png" id="207" name="Picture"/>
                          <pic:cNvPicPr>
                            <a:picLocks noChangeArrowheads="1" noChangeAspect="1"/>
                          </pic:cNvPicPr>
                        </pic:nvPicPr>
                        <pic:blipFill>
                          <a:blip r:embed="rId20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7.13: The profile likelihood for the natural log of the unfished recruitment parameter of the Beverton – Holt stock-recruit function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08"/>
    <w:p>
      <w:pPr>
        <w:pStyle w:val="BodyText"/>
      </w:pPr>
      <w:r>
        <w:t xml:space="preserve"> </w:t>
      </w:r>
    </w:p>
    <w:bookmarkStart w:id="224"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10" name="Picture"/>
                  <a:graphic>
                    <a:graphicData uri="http://schemas.openxmlformats.org/drawingml/2006/picture">
                      <pic:pic>
                        <pic:nvPicPr>
                          <pic:cNvPr descr="Scenarios/84_stx_f3_5cm_010641_0041_a_m3/diagnostics/profile_r0/plots/profile_msyspr.png" id="211" name="Picture"/>
                          <pic:cNvPicPr>
                            <a:picLocks noChangeArrowheads="1" noChangeAspect="1"/>
                          </pic:cNvPicPr>
                        </pic:nvPicPr>
                        <pic:blipFill>
                          <a:blip r:embed="rId20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13" name="Picture"/>
                  <a:graphic>
                    <a:graphicData uri="http://schemas.openxmlformats.org/drawingml/2006/picture">
                      <pic:pic>
                        <pic:nvPicPr>
                          <pic:cNvPr descr="Scenarios/84_stx_f3_5cm_010641_0041_b_m3/diagnostics/profile_r0/plots/profile_msyspr.png" id="214" name="Picture"/>
                          <pic:cNvPicPr>
                            <a:picLocks noChangeArrowheads="1" noChangeAspect="1"/>
                          </pic:cNvPicPr>
                        </pic:nvPicPr>
                        <pic:blipFill>
                          <a:blip r:embed="rId21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6" name="Picture"/>
                  <a:graphic>
                    <a:graphicData uri="http://schemas.openxmlformats.org/drawingml/2006/picture">
                      <pic:pic>
                        <pic:nvPicPr>
                          <pic:cNvPr descr="Scenarios/84_stx_f3_5cm_010641_0041_v1_m3/diagnostics/profile_r0/plots/profile_msyspr.png" id="217" name="Picture"/>
                          <pic:cNvPicPr>
                            <a:picLocks noChangeArrowheads="1" noChangeAspect="1"/>
                          </pic:cNvPicPr>
                        </pic:nvPicPr>
                        <pic:blipFill>
                          <a:blip r:embed="rId21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9" name="Picture"/>
                  <a:graphic>
                    <a:graphicData uri="http://schemas.openxmlformats.org/drawingml/2006/picture">
                      <pic:pic>
                        <pic:nvPicPr>
                          <pic:cNvPr descr="Scenarios/84_stx_f3_5cm_010641_0041_v3_m3/diagnostics/profile_r0/plots/profile_msyspr.png" id="220" name="Picture"/>
                          <pic:cNvPicPr>
                            <a:picLocks noChangeArrowheads="1" noChangeAspect="1"/>
                          </pic:cNvPicPr>
                        </pic:nvPicPr>
                        <pic:blipFill>
                          <a:blip r:embed="rId21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22" name="Picture"/>
                  <a:graphic>
                    <a:graphicData uri="http://schemas.openxmlformats.org/drawingml/2006/picture">
                      <pic:pic>
                        <pic:nvPicPr>
                          <pic:cNvPr descr="Scenarios/84_stx_f3_5cm_010641_0041_v7_m3/diagnostics/profile_r0/plots/profile_msyspr.png" id="223" name="Picture"/>
                          <pic:cNvPicPr>
                            <a:picLocks noChangeArrowheads="1" noChangeAspect="1"/>
                          </pic:cNvPicPr>
                        </pic:nvPicPr>
                        <pic:blipFill>
                          <a:blip r:embed="rId22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7.14: Estimates of the MSY proxy (based on SPR 40%) across the range of unfished recruitment values explored in the St. Croix stoplight parrotfish likelihood profile. These estimates, expressed in metric tons, are shown for model variations a_m3, b_m3, v1_m3, v3_m3, and v7_m3.</w:t>
      </w:r>
    </w:p>
    <w:bookmarkEnd w:id="224"/>
    <w:p>
      <w:pPr>
        <w:pStyle w:val="BodyText"/>
      </w:pPr>
      <w:r>
        <w:t xml:space="preserve"> </w:t>
      </w:r>
    </w:p>
    <w:bookmarkStart w:id="240"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6" name="Picture"/>
                  <a:graphic>
                    <a:graphicData uri="http://schemas.openxmlformats.org/drawingml/2006/picture">
                      <pic:pic>
                        <pic:nvPicPr>
                          <pic:cNvPr descr="Scenarios/84_stx_f3_5cm_010641_0041_a_m3/diagnostics/profile_eqcatch/profile_plot_likelihood.png" id="227" name="Picture"/>
                          <pic:cNvPicPr>
                            <a:picLocks noChangeArrowheads="1" noChangeAspect="1"/>
                          </pic:cNvPicPr>
                        </pic:nvPicPr>
                        <pic:blipFill>
                          <a:blip r:embed="rId22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9" name="Picture"/>
                  <a:graphic>
                    <a:graphicData uri="http://schemas.openxmlformats.org/drawingml/2006/picture">
                      <pic:pic>
                        <pic:nvPicPr>
                          <pic:cNvPr descr="Scenarios/84_stx_f3_5cm_010641_0041_b_m3/diagnostics/profile_eqcatch/profile_plot_likelihood.png" id="230" name="Picture"/>
                          <pic:cNvPicPr>
                            <a:picLocks noChangeArrowheads="1" noChangeAspect="1"/>
                          </pic:cNvPicPr>
                        </pic:nvPicPr>
                        <pic:blipFill>
                          <a:blip r:embed="rId22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32" name="Picture"/>
                  <a:graphic>
                    <a:graphicData uri="http://schemas.openxmlformats.org/drawingml/2006/picture">
                      <pic:pic>
                        <pic:nvPicPr>
                          <pic:cNvPr descr="Scenarios/84_stx_f3_5cm_010641_0041_v1_m3/diagnostics/profile_eqcatch/profile_plot_likelihood.png" id="233" name="Picture"/>
                          <pic:cNvPicPr>
                            <a:picLocks noChangeArrowheads="1" noChangeAspect="1"/>
                          </pic:cNvPicPr>
                        </pic:nvPicPr>
                        <pic:blipFill>
                          <a:blip r:embed="rId23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5" name="Picture"/>
                  <a:graphic>
                    <a:graphicData uri="http://schemas.openxmlformats.org/drawingml/2006/picture">
                      <pic:pic>
                        <pic:nvPicPr>
                          <pic:cNvPr descr="Scenarios/84_stx_f3_5cm_010641_0041_v3_m3/diagnostics/profile_eqcatch/profile_plot_likelihood.png" id="236" name="Picture"/>
                          <pic:cNvPicPr>
                            <a:picLocks noChangeArrowheads="1" noChangeAspect="1"/>
                          </pic:cNvPicPr>
                        </pic:nvPicPr>
                        <pic:blipFill>
                          <a:blip r:embed="rId23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8" name="Picture"/>
                  <a:graphic>
                    <a:graphicData uri="http://schemas.openxmlformats.org/drawingml/2006/picture">
                      <pic:pic>
                        <pic:nvPicPr>
                          <pic:cNvPr descr="Scenarios/84_stx_f3_5cm_010641_0041_v7_m3/diagnostics/profile_eqcatch/profile_plot_likelihood.png" id="239" name="Picture"/>
                          <pic:cNvPicPr>
                            <a:picLocks noChangeArrowheads="1" noChangeAspect="1"/>
                          </pic:cNvPicPr>
                        </pic:nvPicPr>
                        <pic:blipFill>
                          <a:blip r:embed="rId23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7.15: The profile likelihood for the fixed initial equilibrium catch for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40"/>
    <w:p>
      <w:pPr>
        <w:pStyle w:val="BodyText"/>
      </w:pPr>
      <w:r>
        <w:t xml:space="preserve"> </w:t>
      </w:r>
    </w:p>
    <w:bookmarkStart w:id="256"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42" name="Picture"/>
                  <a:graphic>
                    <a:graphicData uri="http://schemas.openxmlformats.org/drawingml/2006/picture">
                      <pic:pic>
                        <pic:nvPicPr>
                          <pic:cNvPr descr="Scenarios/84_stx_f3_5cm_010641_0041_a_m3/diagnostics/profile_eqcatch/plots/profile_msyspr.png" id="243" name="Picture"/>
                          <pic:cNvPicPr>
                            <a:picLocks noChangeArrowheads="1" noChangeAspect="1"/>
                          </pic:cNvPicPr>
                        </pic:nvPicPr>
                        <pic:blipFill>
                          <a:blip r:embed="rId24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5" name="Picture"/>
                  <a:graphic>
                    <a:graphicData uri="http://schemas.openxmlformats.org/drawingml/2006/picture">
                      <pic:pic>
                        <pic:nvPicPr>
                          <pic:cNvPr descr="Scenarios/84_stx_f3_5cm_010641_0041_b_m3/diagnostics/profile_eqcatch/plots/profile_msyspr.png" id="246" name="Picture"/>
                          <pic:cNvPicPr>
                            <a:picLocks noChangeArrowheads="1" noChangeAspect="1"/>
                          </pic:cNvPicPr>
                        </pic:nvPicPr>
                        <pic:blipFill>
                          <a:blip r:embed="rId24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8" name="Picture"/>
                  <a:graphic>
                    <a:graphicData uri="http://schemas.openxmlformats.org/drawingml/2006/picture">
                      <pic:pic>
                        <pic:nvPicPr>
                          <pic:cNvPr descr="Scenarios/84_stx_f3_5cm_010641_0041_v1_m3/diagnostics/profile_eqcatch/plots/profile_msyspr.png" id="249" name="Picture"/>
                          <pic:cNvPicPr>
                            <a:picLocks noChangeArrowheads="1" noChangeAspect="1"/>
                          </pic:cNvPicPr>
                        </pic:nvPicPr>
                        <pic:blipFill>
                          <a:blip r:embed="rId24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51" name="Picture"/>
                  <a:graphic>
                    <a:graphicData uri="http://schemas.openxmlformats.org/drawingml/2006/picture">
                      <pic:pic>
                        <pic:nvPicPr>
                          <pic:cNvPr descr="Scenarios/84_stx_f3_5cm_010641_0041_v3_m3/diagnostics/profile_eqcatch/plots/profile_msyspr.png" id="252" name="Picture"/>
                          <pic:cNvPicPr>
                            <a:picLocks noChangeArrowheads="1" noChangeAspect="1"/>
                          </pic:cNvPicPr>
                        </pic:nvPicPr>
                        <pic:blipFill>
                          <a:blip r:embed="rId25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4" name="Picture"/>
                  <a:graphic>
                    <a:graphicData uri="http://schemas.openxmlformats.org/drawingml/2006/picture">
                      <pic:pic>
                        <pic:nvPicPr>
                          <pic:cNvPr descr="Scenarios/84_stx_f3_5cm_010641_0041_v7_m3/diagnostics/profile_eqcatch/plots/profile_msyspr.png" id="255" name="Picture"/>
                          <pic:cNvPicPr>
                            <a:picLocks noChangeArrowheads="1" noChangeAspect="1"/>
                          </pic:cNvPicPr>
                        </pic:nvPicPr>
                        <pic:blipFill>
                          <a:blip r:embed="rId25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7.16: Estimates of the MSY proxy (based on SPR 40%) across the range of initial equilibrium catch values explored in the St. Croix stoplight parrotfish likelihood profile. These estimates, expressed in metric tons, are shown for model variations a_m3, b_m3, v1_m3, v3_m3, and v7_m3.</w:t>
      </w:r>
    </w:p>
    <w:bookmarkEnd w:id="256"/>
    <w:p>
      <w:pPr>
        <w:pStyle w:val="BodyText"/>
      </w:pPr>
      <w:r>
        <w:t xml:space="preserve"> </w:t>
      </w:r>
    </w:p>
    <w:bookmarkStart w:id="272"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8" name="Picture"/>
                  <a:graphic>
                    <a:graphicData uri="http://schemas.openxmlformats.org/drawingml/2006/picture">
                      <pic:pic>
                        <pic:nvPicPr>
                          <pic:cNvPr descr="Scenarios/84_stx_f3_5cm_010641_0041_a_m3/diagnostics/profile_k/profile_plot_likelihood.png" id="259" name="Picture"/>
                          <pic:cNvPicPr>
                            <a:picLocks noChangeArrowheads="1" noChangeAspect="1"/>
                          </pic:cNvPicPr>
                        </pic:nvPicPr>
                        <pic:blipFill>
                          <a:blip r:embed="rId25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61" name="Picture"/>
                  <a:graphic>
                    <a:graphicData uri="http://schemas.openxmlformats.org/drawingml/2006/picture">
                      <pic:pic>
                        <pic:nvPicPr>
                          <pic:cNvPr descr="Scenarios/84_stx_f3_5cm_010641_0041_b_m3/diagnostics/profile_k/profile_plot_likelihood.png" id="262" name="Picture"/>
                          <pic:cNvPicPr>
                            <a:picLocks noChangeArrowheads="1" noChangeAspect="1"/>
                          </pic:cNvPicPr>
                        </pic:nvPicPr>
                        <pic:blipFill>
                          <a:blip r:embed="rId26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4" name="Picture"/>
                  <a:graphic>
                    <a:graphicData uri="http://schemas.openxmlformats.org/drawingml/2006/picture">
                      <pic:pic>
                        <pic:nvPicPr>
                          <pic:cNvPr descr="Scenarios/84_stx_f3_5cm_010641_0041_v1_m3/diagnostics/profile_k/profile_plot_likelihood.png" id="265" name="Picture"/>
                          <pic:cNvPicPr>
                            <a:picLocks noChangeArrowheads="1" noChangeAspect="1"/>
                          </pic:cNvPicPr>
                        </pic:nvPicPr>
                        <pic:blipFill>
                          <a:blip r:embed="rId26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7" name="Picture"/>
                  <a:graphic>
                    <a:graphicData uri="http://schemas.openxmlformats.org/drawingml/2006/picture">
                      <pic:pic>
                        <pic:nvPicPr>
                          <pic:cNvPr descr="Scenarios/84_stx_f3_5cm_010641_0041_v3_m3/diagnostics/profile_k/profile_plot_likelihood.png" id="268" name="Picture"/>
                          <pic:cNvPicPr>
                            <a:picLocks noChangeArrowheads="1" noChangeAspect="1"/>
                          </pic:cNvPicPr>
                        </pic:nvPicPr>
                        <pic:blipFill>
                          <a:blip r:embed="rId26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70" name="Picture"/>
                  <a:graphic>
                    <a:graphicData uri="http://schemas.openxmlformats.org/drawingml/2006/picture">
                      <pic:pic>
                        <pic:nvPicPr>
                          <pic:cNvPr descr="Scenarios/84_stx_f3_5cm_010641_0041_v7_m3/diagnostics/profile_k/profile_plot_likelihood.png" id="271" name="Picture"/>
                          <pic:cNvPicPr>
                            <a:picLocks noChangeArrowheads="1" noChangeAspect="1"/>
                          </pic:cNvPicPr>
                        </pic:nvPicPr>
                        <pic:blipFill>
                          <a:blip r:embed="rId26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7.17: The profile likelihood for the steepness parameter of the Beverton – Holt stock-recruit function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72"/>
    <w:p>
      <w:pPr>
        <w:pStyle w:val="BodyText"/>
      </w:pPr>
      <w:r>
        <w:t xml:space="preserve"> </w:t>
      </w:r>
    </w:p>
    <w:bookmarkStart w:id="288"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4" name="Picture"/>
                  <a:graphic>
                    <a:graphicData uri="http://schemas.openxmlformats.org/drawingml/2006/picture">
                      <pic:pic>
                        <pic:nvPicPr>
                          <pic:cNvPr descr="Scenarios/84_stx_f3_5cm_010641_0041_a_m3/diagnostics/profile_k/plots/profile_msyspr.png" id="275" name="Picture"/>
                          <pic:cNvPicPr>
                            <a:picLocks noChangeArrowheads="1" noChangeAspect="1"/>
                          </pic:cNvPicPr>
                        </pic:nvPicPr>
                        <pic:blipFill>
                          <a:blip r:embed="rId2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7" name="Picture"/>
                  <a:graphic>
                    <a:graphicData uri="http://schemas.openxmlformats.org/drawingml/2006/picture">
                      <pic:pic>
                        <pic:nvPicPr>
                          <pic:cNvPr descr="Scenarios/84_stx_f3_5cm_010641_0041_b_m3/diagnostics/profile_k/plots/profile_msyspr.png" id="278" name="Picture"/>
                          <pic:cNvPicPr>
                            <a:picLocks noChangeArrowheads="1" noChangeAspect="1"/>
                          </pic:cNvPicPr>
                        </pic:nvPicPr>
                        <pic:blipFill>
                          <a:blip r:embed="rId2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80" name="Picture"/>
                  <a:graphic>
                    <a:graphicData uri="http://schemas.openxmlformats.org/drawingml/2006/picture">
                      <pic:pic>
                        <pic:nvPicPr>
                          <pic:cNvPr descr="Scenarios/84_stx_f3_5cm_010641_0041_v1_m3/diagnostics/profile_k/plots/profile_msyspr.png" id="281" name="Picture"/>
                          <pic:cNvPicPr>
                            <a:picLocks noChangeArrowheads="1" noChangeAspect="1"/>
                          </pic:cNvPicPr>
                        </pic:nvPicPr>
                        <pic:blipFill>
                          <a:blip r:embed="rId2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83" name="Picture"/>
                  <a:graphic>
                    <a:graphicData uri="http://schemas.openxmlformats.org/drawingml/2006/picture">
                      <pic:pic>
                        <pic:nvPicPr>
                          <pic:cNvPr descr="Scenarios/84_stx_f3_5cm_010641_0041_v3_m3/diagnostics/profile_k/plots/profile_msyspr.png" id="284" name="Picture"/>
                          <pic:cNvPicPr>
                            <a:picLocks noChangeArrowheads="1" noChangeAspect="1"/>
                          </pic:cNvPicPr>
                        </pic:nvPicPr>
                        <pic:blipFill>
                          <a:blip r:embed="rId28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6" name="Picture"/>
                  <a:graphic>
                    <a:graphicData uri="http://schemas.openxmlformats.org/drawingml/2006/picture">
                      <pic:pic>
                        <pic:nvPicPr>
                          <pic:cNvPr descr="Scenarios/84_stx_f3_5cm_010641_0041_v7_m3/diagnostics/profile_k/plots/profile_msyspr.png" id="287" name="Picture"/>
                          <pic:cNvPicPr>
                            <a:picLocks noChangeArrowheads="1" noChangeAspect="1"/>
                          </pic:cNvPicPr>
                        </pic:nvPicPr>
                        <pic:blipFill>
                          <a:blip r:embed="rId28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7.18: Estimates of the MSY proxy (based on SPR 40%) across the range of steepness values explored in the St. Croix stoplight parrotfish likelihood profile. These estimates, expressed in metric tons, are shown for model variations a_m3, b_m3, v1_m3, v3_m3, and v7_m3.</w:t>
      </w:r>
    </w:p>
    <w:bookmarkEnd w:id="288"/>
    <w:p>
      <w:pPr>
        <w:pStyle w:val="BodyText"/>
      </w:pPr>
      <w:r>
        <w:t xml:space="preserve"> </w:t>
      </w:r>
    </w:p>
    <w:bookmarkStart w:id="297"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92" w:name="fig-s4-r0"/>
                <w:p>
                  <w:pPr>
                    <w:pStyle w:val="Compact"/>
                    <w:jc w:val="center"/>
                    <w:jc w:val="left"/>
                  </w:pPr>
                  <w:r>
                    <w:drawing>
                      <wp:inline>
                        <wp:extent cx="2971800" cy="2228850"/>
                        <wp:effectExtent b="0" l="0" r="0" t="0"/>
                        <wp:docPr descr="" title="" id="290" name="Picture"/>
                        <a:graphic>
                          <a:graphicData uri="http://schemas.openxmlformats.org/drawingml/2006/picture">
                            <pic:pic>
                              <pic:nvPicPr>
                                <pic:cNvPr descr="Scenarios/plots_s4/compare16_densities_SR_LN(R0).png" id="291" name="Picture"/>
                                <pic:cNvPicPr>
                                  <a:picLocks noChangeArrowheads="1" noChangeAspect="1"/>
                                </pic:cNvPicPr>
                              </pic:nvPicPr>
                              <pic:blipFill>
                                <a:blip r:embed="rId28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29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6" w:name="fig-s4-ssb-par"/>
                <w:p>
                  <w:pPr>
                    <w:pStyle w:val="Compact"/>
                    <w:jc w:val="center"/>
                    <w:jc w:val="left"/>
                  </w:pPr>
                  <w:r>
                    <w:drawing>
                      <wp:inline>
                        <wp:extent cx="2971800" cy="2228850"/>
                        <wp:effectExtent b="0" l="0" r="0" t="0"/>
                        <wp:docPr descr="" title="" id="294" name="Picture"/>
                        <a:graphic>
                          <a:graphicData uri="http://schemas.openxmlformats.org/drawingml/2006/picture">
                            <pic:pic>
                              <pic:nvPicPr>
                                <pic:cNvPr descr="Scenarios/plots_s4/compare16_densities_SSB_Virgin.png" id="295" name="Picture"/>
                                <pic:cNvPicPr>
                                  <a:picLocks noChangeArrowheads="1" noChangeAspect="1"/>
                                </pic:cNvPicPr>
                              </pic:nvPicPr>
                              <pic:blipFill>
                                <a:blip r:embed="rId29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296"/>
              </w:tc>
            </w:tr>
          </w:tbl>
          <w:p/>
        </w:tc>
      </w:tr>
    </w:tbl>
    <w:p>
      <w:pPr>
        <w:pStyle w:val="BodyText"/>
      </w:pPr>
      <w:pPr>
        <w:spacing w:before="200"/>
        <w:pStyle w:val="ImageCaption"/>
      </w:pPr>
      <w:r>
        <w:t xml:space="preserve">Figure 7.19: St. Croix stoplight parrotfish parameter distribution for (a) the natural log of the unfished recruitment parameter of the Beverton – Holt stock-recruit function and (b) virgin spawning stock biomass in metric tons across model variations (a_m3_s4, b_m3_s4, v1_m3_s4, v3_m3_s4, and v7_m3_s4).</w:t>
      </w:r>
    </w:p>
    <w:bookmarkEnd w:id="297"/>
    <w:p>
      <w:pPr>
        <w:pStyle w:val="BodyText"/>
      </w:pPr>
      <w:r>
        <w:t xml:space="preserve"> </w:t>
      </w:r>
    </w:p>
    <w:bookmarkStart w:id="314"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01" w:name="fig-s4-ratio"/>
                <w:p>
                  <w:pPr>
                    <w:pStyle w:val="Compact"/>
                    <w:jc w:val="center"/>
                    <w:jc w:val="left"/>
                  </w:pPr>
                  <w:r>
                    <w:drawing>
                      <wp:inline>
                        <wp:extent cx="2971800" cy="2228850"/>
                        <wp:effectExtent b="0" l="0" r="0" t="0"/>
                        <wp:docPr descr="" title="" id="299" name="Picture"/>
                        <a:graphic>
                          <a:graphicData uri="http://schemas.openxmlformats.org/drawingml/2006/picture">
                            <pic:pic>
                              <pic:nvPicPr>
                                <pic:cNvPr descr="Scenarios/plots_s4_plain/compare4_Bratio_uncertainty.png" id="300" name="Picture"/>
                                <pic:cNvPicPr>
                                  <a:picLocks noChangeArrowheads="1" noChangeAspect="1"/>
                                </pic:cNvPicPr>
                              </pic:nvPicPr>
                              <pic:blipFill>
                                <a:blip r:embed="rId29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30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05" w:name="fig-s4-ssb"/>
                <w:p>
                  <w:pPr>
                    <w:pStyle w:val="Compact"/>
                    <w:jc w:val="center"/>
                    <w:jc w:val="left"/>
                  </w:pPr>
                  <w:r>
                    <w:drawing>
                      <wp:inline>
                        <wp:extent cx="2971800" cy="2228850"/>
                        <wp:effectExtent b="0" l="0" r="0" t="0"/>
                        <wp:docPr descr="" title="" id="303" name="Picture"/>
                        <a:graphic>
                          <a:graphicData uri="http://schemas.openxmlformats.org/drawingml/2006/picture">
                            <pic:pic>
                              <pic:nvPicPr>
                                <pic:cNvPr descr="Scenarios/plots_s4_plain/compare2_spawnbio_uncertainty.png" id="304" name="Picture"/>
                                <pic:cNvPicPr>
                                  <a:picLocks noChangeArrowheads="1" noChangeAspect="1"/>
                                </pic:cNvPicPr>
                              </pic:nvPicPr>
                              <pic:blipFill>
                                <a:blip r:embed="rId30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30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09" w:name="fig-s4-f"/>
                <w:p>
                  <w:pPr>
                    <w:pStyle w:val="Compact"/>
                    <w:jc w:val="center"/>
                    <w:jc w:val="left"/>
                  </w:pPr>
                  <w:r>
                    <w:drawing>
                      <wp:inline>
                        <wp:extent cx="2971800" cy="2228850"/>
                        <wp:effectExtent b="0" l="0" r="0" t="0"/>
                        <wp:docPr descr="" title="" id="307" name="Picture"/>
                        <a:graphic>
                          <a:graphicData uri="http://schemas.openxmlformats.org/drawingml/2006/picture">
                            <pic:pic>
                              <pic:nvPicPr>
                                <pic:cNvPr descr="Scenarios/plots_s4/compare8_Fvalue_uncertainty.png" id="308" name="Picture"/>
                                <pic:cNvPicPr>
                                  <a:picLocks noChangeArrowheads="1" noChangeAspect="1"/>
                                </pic:cNvPicPr>
                              </pic:nvPicPr>
                              <pic:blipFill>
                                <a:blip r:embed="rId306"/>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30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13" w:name="fig-s4-recruits"/>
                <w:p>
                  <w:pPr>
                    <w:pStyle w:val="Compact"/>
                    <w:jc w:val="center"/>
                    <w:jc w:val="left"/>
                  </w:pPr>
                  <w:r>
                    <w:drawing>
                      <wp:inline>
                        <wp:extent cx="2971800" cy="2228850"/>
                        <wp:effectExtent b="0" l="0" r="0" t="0"/>
                        <wp:docPr descr="" title="" id="311" name="Picture"/>
                        <a:graphic>
                          <a:graphicData uri="http://schemas.openxmlformats.org/drawingml/2006/picture">
                            <pic:pic>
                              <pic:nvPicPr>
                                <pic:cNvPr descr="Scenarios/plots_s4_plain/compare10_recruits_uncertainty.png" id="312" name="Picture"/>
                                <pic:cNvPicPr>
                                  <a:picLocks noChangeArrowheads="1" noChangeAspect="1"/>
                                </pic:cNvPicPr>
                              </pic:nvPicPr>
                              <pic:blipFill>
                                <a:blip r:embed="rId31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313"/>
              </w:tc>
            </w:tr>
          </w:tbl>
          <w:p/>
        </w:tc>
      </w:tr>
    </w:tbl>
    <w:p>
      <w:pPr>
        <w:pStyle w:val="BodyText"/>
      </w:pPr>
      <w:pPr>
        <w:spacing w:before="200"/>
        <w:pStyle w:val="ImageCaption"/>
      </w:pPr>
      <w:r>
        <w:t xml:space="preserve">Figure 7.20: St. Croix stoplight parrotfish derived quantity time series across model variations (a_m3_s5, b_m3_s5, v1_m3_s5, v3_m3_s5, and v7_m3_s5).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314"/>
    <w:p>
      <w:pPr>
        <w:pStyle w:val="BodyText"/>
      </w:pPr>
      <w:r>
        <w:t xml:space="preserve"> </w:t>
      </w:r>
    </w:p>
    <w:bookmarkStart w:id="323"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18" w:name="fig-s5-r0"/>
                <w:p>
                  <w:pPr>
                    <w:pStyle w:val="Compact"/>
                    <w:jc w:val="center"/>
                    <w:jc w:val="left"/>
                  </w:pPr>
                  <w:r>
                    <w:drawing>
                      <wp:inline>
                        <wp:extent cx="2971800" cy="2228850"/>
                        <wp:effectExtent b="0" l="0" r="0" t="0"/>
                        <wp:docPr descr="" title="" id="316" name="Picture"/>
                        <a:graphic>
                          <a:graphicData uri="http://schemas.openxmlformats.org/drawingml/2006/picture">
                            <pic:pic>
                              <pic:nvPicPr>
                                <pic:cNvPr descr="Scenarios/plots_s5/compare16_densities_SR_LN(R0).png" id="317" name="Picture"/>
                                <pic:cNvPicPr>
                                  <a:picLocks noChangeArrowheads="1" noChangeAspect="1"/>
                                </pic:cNvPicPr>
                              </pic:nvPicPr>
                              <pic:blipFill>
                                <a:blip r:embed="rId31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31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22" w:name="fig-s5-ssb-par"/>
                <w:p>
                  <w:pPr>
                    <w:pStyle w:val="Compact"/>
                    <w:jc w:val="center"/>
                    <w:jc w:val="left"/>
                  </w:pPr>
                  <w:r>
                    <w:drawing>
                      <wp:inline>
                        <wp:extent cx="2971800" cy="2228850"/>
                        <wp:effectExtent b="0" l="0" r="0" t="0"/>
                        <wp:docPr descr="" title="" id="320" name="Picture"/>
                        <a:graphic>
                          <a:graphicData uri="http://schemas.openxmlformats.org/drawingml/2006/picture">
                            <pic:pic>
                              <pic:nvPicPr>
                                <pic:cNvPr descr="Scenarios/plots_s5/compare16_densities_SSB_Virgin.png" id="321" name="Picture"/>
                                <pic:cNvPicPr>
                                  <a:picLocks noChangeArrowheads="1" noChangeAspect="1"/>
                                </pic:cNvPicPr>
                              </pic:nvPicPr>
                              <pic:blipFill>
                                <a:blip r:embed="rId31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322"/>
              </w:tc>
            </w:tr>
          </w:tbl>
          <w:p/>
        </w:tc>
      </w:tr>
    </w:tbl>
    <w:p>
      <w:pPr>
        <w:pStyle w:val="BodyText"/>
      </w:pPr>
      <w:pPr>
        <w:spacing w:before="200"/>
        <w:pStyle w:val="ImageCaption"/>
      </w:pPr>
      <w:r>
        <w:t xml:space="preserve">Figure 7.21: St. Croix stoplight parrotfish parameter distribution for (a) the natural log of the unfished recruitment parameter of the Beverton – Holt stock-recruit function and (b) virgin spawning stock biomass in metric tons across model variations (a_m3_s5, b_m3_s5, v1_m3_s5, v3_m3_s5, and v7_m3_s5).</w:t>
      </w:r>
    </w:p>
    <w:bookmarkEnd w:id="323"/>
    <w:p>
      <w:pPr>
        <w:pStyle w:val="BodyText"/>
      </w:pPr>
      <w:r>
        <w:t xml:space="preserve"> </w:t>
      </w:r>
    </w:p>
    <w:bookmarkStart w:id="340"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27" w:name="fig-s5-ratio"/>
                <w:p>
                  <w:pPr>
                    <w:pStyle w:val="Compact"/>
                    <w:jc w:val="center"/>
                    <w:jc w:val="left"/>
                  </w:pPr>
                  <w:r>
                    <w:drawing>
                      <wp:inline>
                        <wp:extent cx="2971800" cy="2228850"/>
                        <wp:effectExtent b="0" l="0" r="0" t="0"/>
                        <wp:docPr descr="" title="" id="325" name="Picture"/>
                        <a:graphic>
                          <a:graphicData uri="http://schemas.openxmlformats.org/drawingml/2006/picture">
                            <pic:pic>
                              <pic:nvPicPr>
                                <pic:cNvPr descr="Scenarios/plots_s5_plain/compare4_Bratio_uncertainty.png" id="326" name="Picture"/>
                                <pic:cNvPicPr>
                                  <a:picLocks noChangeArrowheads="1" noChangeAspect="1"/>
                                </pic:cNvPicPr>
                              </pic:nvPicPr>
                              <pic:blipFill>
                                <a:blip r:embed="rId32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32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31" w:name="fig-s5-ssb"/>
                <w:p>
                  <w:pPr>
                    <w:pStyle w:val="Compact"/>
                    <w:jc w:val="center"/>
                    <w:jc w:val="left"/>
                  </w:pPr>
                  <w:r>
                    <w:drawing>
                      <wp:inline>
                        <wp:extent cx="2971800" cy="2228850"/>
                        <wp:effectExtent b="0" l="0" r="0" t="0"/>
                        <wp:docPr descr="" title="" id="329" name="Picture"/>
                        <a:graphic>
                          <a:graphicData uri="http://schemas.openxmlformats.org/drawingml/2006/picture">
                            <pic:pic>
                              <pic:nvPicPr>
                                <pic:cNvPr descr="Scenarios/plots_s5_plain/compare2_spawnbio_uncertainty.png" id="330" name="Picture"/>
                                <pic:cNvPicPr>
                                  <a:picLocks noChangeArrowheads="1" noChangeAspect="1"/>
                                </pic:cNvPicPr>
                              </pic:nvPicPr>
                              <pic:blipFill>
                                <a:blip r:embed="rId32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33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35" w:name="fig-s5-f"/>
                <w:p>
                  <w:pPr>
                    <w:pStyle w:val="Compact"/>
                    <w:jc w:val="center"/>
                    <w:jc w:val="left"/>
                  </w:pPr>
                  <w:r>
                    <w:drawing>
                      <wp:inline>
                        <wp:extent cx="2971800" cy="2228850"/>
                        <wp:effectExtent b="0" l="0" r="0" t="0"/>
                        <wp:docPr descr="" title="" id="333" name="Picture"/>
                        <a:graphic>
                          <a:graphicData uri="http://schemas.openxmlformats.org/drawingml/2006/picture">
                            <pic:pic>
                              <pic:nvPicPr>
                                <pic:cNvPr descr="Scenarios/plots_s5/compare8_Fvalue_uncertainty.png" id="334" name="Picture"/>
                                <pic:cNvPicPr>
                                  <a:picLocks noChangeArrowheads="1" noChangeAspect="1"/>
                                </pic:cNvPicPr>
                              </pic:nvPicPr>
                              <pic:blipFill>
                                <a:blip r:embed="rId33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33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39" w:name="fig-s5-recruits"/>
                <w:p>
                  <w:pPr>
                    <w:pStyle w:val="Compact"/>
                    <w:jc w:val="center"/>
                    <w:jc w:val="left"/>
                  </w:pPr>
                  <w:r>
                    <w:drawing>
                      <wp:inline>
                        <wp:extent cx="2971800" cy="2228850"/>
                        <wp:effectExtent b="0" l="0" r="0" t="0"/>
                        <wp:docPr descr="" title="" id="337" name="Picture"/>
                        <a:graphic>
                          <a:graphicData uri="http://schemas.openxmlformats.org/drawingml/2006/picture">
                            <pic:pic>
                              <pic:nvPicPr>
                                <pic:cNvPr descr="Scenarios/plots_s5_plain/compare10_recruits_uncertainty.png" id="338" name="Picture"/>
                                <pic:cNvPicPr>
                                  <a:picLocks noChangeArrowheads="1" noChangeAspect="1"/>
                                </pic:cNvPicPr>
                              </pic:nvPicPr>
                              <pic:blipFill>
                                <a:blip r:embed="rId336"/>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339"/>
              </w:tc>
            </w:tr>
          </w:tbl>
          <w:p/>
        </w:tc>
      </w:tr>
    </w:tbl>
    <w:p>
      <w:pPr>
        <w:pStyle w:val="BodyText"/>
      </w:pPr>
      <w:pPr>
        <w:spacing w:before="200"/>
        <w:pStyle w:val="ImageCaption"/>
      </w:pPr>
      <w:r>
        <w:t xml:space="preserve">Figure 7.22: St. Croix stoplight parrotfish derived quantity time series across model variations (a_m3_s5, b_m3_s5, v1_m3_s5, v3_m3_s5, and v7_m3_s5).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340"/>
    <w:bookmarkEnd w:id="341"/>
    <w:bookmarkStart w:id="397" w:name="references"/>
    <w:p>
      <w:pPr>
        <w:pStyle w:val="Heading1"/>
      </w:pPr>
      <w:r>
        <w:t xml:space="preserve">References</w:t>
      </w:r>
    </w:p>
    <w:bookmarkStart w:id="396" w:name="refs"/>
    <w:bookmarkStart w:id="343"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342">
        <w:r>
          <w:rPr>
            <w:rStyle w:val="Hyperlink"/>
          </w:rPr>
          <w:t xml:space="preserve">https://doi.org/10.1111/2041-210x.13081</w:t>
        </w:r>
      </w:hyperlink>
    </w:p>
    <w:bookmarkEnd w:id="343"/>
    <w:bookmarkStart w:id="345"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344">
        <w:r>
          <w:rPr>
            <w:rStyle w:val="Hyperlink"/>
          </w:rPr>
          <w:t xml:space="preserve">https://doi.org/10.1016/j.fishres.2021.105959</w:t>
        </w:r>
      </w:hyperlink>
    </w:p>
    <w:bookmarkEnd w:id="345"/>
    <w:bookmarkStart w:id="347"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346">
        <w:r>
          <w:rPr>
            <w:rStyle w:val="Hyperlink"/>
          </w:rPr>
          <w:t xml:space="preserve">https://doi.org/10.3354/meps246265</w:t>
        </w:r>
      </w:hyperlink>
    </w:p>
    <w:bookmarkEnd w:id="347"/>
    <w:bookmarkStart w:id="349" w:name="ref-cope2024"/>
    <w:p>
      <w:pPr>
        <w:pStyle w:val="Bibliography"/>
      </w:pPr>
      <w:r>
        <w:t xml:space="preserve">Cope, J. (2024).</w:t>
      </w:r>
      <w:r>
        <w:t xml:space="preserve"> </w:t>
      </w:r>
      <w:r>
        <w:rPr>
          <w:i/>
          <w:iCs/>
        </w:rPr>
        <w:t xml:space="preserve">Stock assessment continuum tool</w:t>
      </w:r>
      <w:r>
        <w:t xml:space="preserve">.</w:t>
      </w:r>
      <w:r>
        <w:t xml:space="preserve"> </w:t>
      </w:r>
      <w:hyperlink r:id="rId348">
        <w:r>
          <w:rPr>
            <w:rStyle w:val="Hyperlink"/>
          </w:rPr>
          <w:t xml:space="preserve">https://github.com/shcaba/SS-DL-tool</w:t>
        </w:r>
      </w:hyperlink>
    </w:p>
    <w:bookmarkEnd w:id="349"/>
    <w:bookmarkStart w:id="351"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350">
        <w:r>
          <w:rPr>
            <w:rStyle w:val="Hyperlink"/>
          </w:rPr>
          <w:t xml:space="preserve">https://doi.org/10.1016/j.fishres.2022.106493</w:t>
        </w:r>
      </w:hyperlink>
    </w:p>
    <w:bookmarkEnd w:id="351"/>
    <w:bookmarkStart w:id="353"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352">
        <w:r>
          <w:rPr>
            <w:rStyle w:val="Hyperlink"/>
          </w:rPr>
          <w:t xml:space="preserve">https://repository.library.noaa.gov/view/noaa/45275</w:t>
        </w:r>
      </w:hyperlink>
    </w:p>
    <w:bookmarkEnd w:id="353"/>
    <w:bookmarkStart w:id="355"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 u.s. Caribbean, 1983-2022</w:t>
      </w:r>
      <w:r>
        <w:t xml:space="preserve"> </w:t>
      </w:r>
      <w:r>
        <w:t xml:space="preserve">(p. 10).</w:t>
      </w:r>
      <w:r>
        <w:t xml:space="preserve"> </w:t>
      </w:r>
      <w:hyperlink r:id="rId354">
        <w:r>
          <w:rPr>
            <w:rStyle w:val="Hyperlink"/>
          </w:rPr>
          <w:t xml:space="preserve">https://sedarweb.org/documents/sedar-84-dw-11-sedar-84-trip-interview-program-tip-size-composition-analysis-of-stoplight-parrotfish-sparisoma-viride-in-st-croix-u-s-caribbean-1983-2022/</w:t>
        </w:r>
      </w:hyperlink>
    </w:p>
    <w:bookmarkEnd w:id="355"/>
    <w:bookmarkStart w:id="357"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 st. croix</w:t>
      </w:r>
      <w:r>
        <w:t xml:space="preserve"> </w:t>
      </w:r>
      <w:r>
        <w:t xml:space="preserve">(p. 11).</w:t>
      </w:r>
      <w:r>
        <w:t xml:space="preserve"> </w:t>
      </w:r>
      <w:hyperlink r:id="rId356">
        <w:r>
          <w:rPr>
            <w:rStyle w:val="Hyperlink"/>
          </w:rPr>
          <w:t xml:space="preserve">https://sedarweb.org/documents/sedar-84-dw-14-fishery-independent-reef-fish-visual-survey-population-density-and-length-composition-for-stoplight-parrotfish-in-the-st-croix/</w:t>
        </w:r>
      </w:hyperlink>
    </w:p>
    <w:bookmarkEnd w:id="357"/>
    <w:bookmarkStart w:id="359"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 u.s. caribbean.</w:t>
      </w:r>
      <w:r>
        <w:t xml:space="preserve"> </w:t>
      </w:r>
      <w:r>
        <w:t xml:space="preserve">(p. 55).</w:t>
      </w:r>
      <w:r>
        <w:t xml:space="preserve"> </w:t>
      </w:r>
      <w:hyperlink r:id="rId358">
        <w:r>
          <w:rPr>
            <w:rStyle w:val="Hyperlink"/>
          </w:rPr>
          <w:t xml:space="preserve">https://sedarweb.org/documents/sedar-80-wp-02-national-coral-reef-monitoring-programs-reef-fish-visual-census-metadata-for-the-u-s-caribbean/</w:t>
        </w:r>
      </w:hyperlink>
    </w:p>
    <w:bookmarkEnd w:id="359"/>
    <w:bookmarkStart w:id="361"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60">
        <w:r>
          <w:rPr>
            <w:rStyle w:val="Hyperlink"/>
          </w:rPr>
          <w:t xml:space="preserve">https://doi.org/10.1093/icesjms/fsu131</w:t>
        </w:r>
      </w:hyperlink>
    </w:p>
    <w:bookmarkEnd w:id="361"/>
    <w:bookmarkStart w:id="363"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62">
        <w:r>
          <w:rPr>
            <w:rStyle w:val="Hyperlink"/>
          </w:rPr>
          <w:t xml:space="preserve">https://doi.org/10.1016/j.fishres.2022.106477</w:t>
        </w:r>
      </w:hyperlink>
    </w:p>
    <w:bookmarkEnd w:id="363"/>
    <w:bookmarkStart w:id="365"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64">
        <w:r>
          <w:rPr>
            <w:rStyle w:val="Hyperlink"/>
          </w:rPr>
          <w:t xml:space="preserve">https://doi.org/10.1139/f95-233</w:t>
        </w:r>
      </w:hyperlink>
    </w:p>
    <w:bookmarkEnd w:id="365"/>
    <w:bookmarkStart w:id="367"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66">
        <w:r>
          <w:rPr>
            <w:rStyle w:val="Hyperlink"/>
          </w:rPr>
          <w:t xml:space="preserve">https://doi.org/10.1139/f97-007</w:t>
        </w:r>
      </w:hyperlink>
    </w:p>
    <w:bookmarkEnd w:id="367"/>
    <w:bookmarkStart w:id="369"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w:t>
      </w:r>
      <w:r>
        <w:t xml:space="preserve">(p. 16).</w:t>
      </w:r>
      <w:r>
        <w:t xml:space="preserve"> </w:t>
      </w:r>
      <w:hyperlink r:id="rId368">
        <w:r>
          <w:rPr>
            <w:rStyle w:val="Hyperlink"/>
          </w:rPr>
          <w:t xml:space="preserve">https://sedarweb.org/documents/sedar-84-dw-05-summary-of-management-actions-for-stoplight-parrotfish-sparisoma-viride-from-st-croix-1985-2021-as-documented-within-the-management-history-database/</w:t>
        </w:r>
      </w:hyperlink>
    </w:p>
    <w:bookmarkEnd w:id="369"/>
    <w:bookmarkStart w:id="371"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w:t>
      </w:r>
      <w:r>
        <w:t xml:space="preserve">(p. 20).</w:t>
      </w:r>
      <w:r>
        <w:t xml:space="preserve"> </w:t>
      </w:r>
      <w:hyperlink r:id="rId370">
        <w:r>
          <w:rPr>
            <w:rStyle w:val="Hyperlink"/>
          </w:rPr>
          <w:t xml:space="preserve">https://sedarweb.org/documents/sedar-84-dw-03-sedar-84-commercial-fishery-landings-of-stoplight-parrotfish-sparisoma-viride-in-st-croix-us-caribbean-2012-2022/</w:t>
        </w:r>
      </w:hyperlink>
    </w:p>
    <w:bookmarkEnd w:id="371"/>
    <w:bookmarkStart w:id="373"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72">
        <w:r>
          <w:rPr>
            <w:rStyle w:val="Hyperlink"/>
          </w:rPr>
          <w:t xml:space="preserve">https://doi.org/10.1016/j.fishres.2012.10.012</w:t>
        </w:r>
      </w:hyperlink>
    </w:p>
    <w:bookmarkEnd w:id="373"/>
    <w:bookmarkStart w:id="375"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74">
        <w:r>
          <w:rPr>
            <w:rStyle w:val="Hyperlink"/>
          </w:rPr>
          <w:t xml:space="preserve">https://doi.org/10.25923/5WPN-QT71</w:t>
        </w:r>
      </w:hyperlink>
    </w:p>
    <w:bookmarkEnd w:id="375"/>
    <w:bookmarkStart w:id="377" w:name="ref-rikhter1976"/>
    <w:p>
      <w:pPr>
        <w:pStyle w:val="Bibliography"/>
      </w:pPr>
      <w:r>
        <w:t xml:space="preserve">Rikhter, V. A., &amp; Efanov, V. N. (1976). 12.</w:t>
      </w:r>
      <w:r>
        <w:t xml:space="preserve"> </w:t>
      </w:r>
      <w:hyperlink r:id="rId376">
        <w:r>
          <w:rPr>
            <w:rStyle w:val="Hyperlink"/>
          </w:rPr>
          <w:t xml:space="preserve">https://www.nafo.int/icnaf/library/docs/1976/res-08.pdf</w:t>
        </w:r>
      </w:hyperlink>
    </w:p>
    <w:bookmarkEnd w:id="377"/>
    <w:bookmarkStart w:id="379"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w:t>
      </w:r>
      <w:r>
        <w:t xml:space="preserve">(p. 22).</w:t>
      </w:r>
      <w:r>
        <w:t xml:space="preserve"> </w:t>
      </w:r>
      <w:hyperlink r:id="rId378">
        <w:r>
          <w:rPr>
            <w:rStyle w:val="Hyperlink"/>
          </w:rPr>
          <w:t xml:space="preserve">https://sedarweb.org/documents/sedar-84-ap-01-report-on-the-status-of-u-s-caribbean-stoplight-parrotfish-sparisoma-viride-age-growth-and-reproductive-biology-for-the-sedar84-stock-assessment</w:t>
        </w:r>
      </w:hyperlink>
    </w:p>
    <w:bookmarkEnd w:id="379"/>
    <w:bookmarkStart w:id="381"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380">
        <w:r>
          <w:rPr>
            <w:rStyle w:val="Hyperlink"/>
          </w:rPr>
          <w:t xml:space="preserve">https://sedarweb.org/documents/sedar-46-final-stock-assessment-report-caribbean-data-limited-species/</w:t>
        </w:r>
      </w:hyperlink>
    </w:p>
    <w:bookmarkEnd w:id="381"/>
    <w:bookmarkStart w:id="383" w:name="ref-sedar2019"/>
    <w:p>
      <w:pPr>
        <w:pStyle w:val="Bibliography"/>
      </w:pPr>
      <w:r>
        <w:t xml:space="preserve">SEDAR. (2019).</w:t>
      </w:r>
      <w:r>
        <w:t xml:space="preserve"> </w:t>
      </w:r>
      <w:r>
        <w:rPr>
          <w:i/>
          <w:iCs/>
        </w:rPr>
        <w:t xml:space="preserve">SEDAR 57 stock assessment report u.s. Caribbean spiny lobster</w:t>
      </w:r>
      <w:r>
        <w:t xml:space="preserve"> </w:t>
      </w:r>
      <w:r>
        <w:t xml:space="preserve">(p. 232).</w:t>
      </w:r>
      <w:r>
        <w:t xml:space="preserve"> </w:t>
      </w:r>
      <w:hyperlink r:id="rId382">
        <w:r>
          <w:rPr>
            <w:rStyle w:val="Hyperlink"/>
          </w:rPr>
          <w:t xml:space="preserve">http://sedarweb.org/sedar-57</w:t>
        </w:r>
      </w:hyperlink>
    </w:p>
    <w:bookmarkEnd w:id="383"/>
    <w:bookmarkStart w:id="385"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384">
        <w:r>
          <w:rPr>
            <w:rStyle w:val="Hyperlink"/>
          </w:rPr>
          <w:t xml:space="preserve">https://sedarweb.org/documents/sedar-80-us-caribbean-queen-triggerfish-puerto-rico-final-stock-assessment-report/</w:t>
        </w:r>
      </w:hyperlink>
    </w:p>
    <w:bookmarkEnd w:id="385"/>
    <w:bookmarkStart w:id="387"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386">
        <w:r>
          <w:rPr>
            <w:rStyle w:val="Hyperlink"/>
          </w:rPr>
          <w:t xml:space="preserve">https://sedarweb.org/documents/sedar-84-us-caribbean-stoplight-parrotfish-st-croix-data-workshop-report/</w:t>
        </w:r>
      </w:hyperlink>
    </w:p>
    <w:bookmarkEnd w:id="387"/>
    <w:bookmarkStart w:id="389"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388">
        <w:r>
          <w:rPr>
            <w:rStyle w:val="Hyperlink"/>
          </w:rPr>
          <w:t xml:space="preserve">https://doi.org/10.1016/j.fishres.2021.105924</w:t>
        </w:r>
      </w:hyperlink>
    </w:p>
    <w:bookmarkEnd w:id="389"/>
    <w:bookmarkStart w:id="391"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390">
        <w:r>
          <w:rPr>
            <w:rStyle w:val="Hyperlink"/>
          </w:rPr>
          <w:t xml:space="preserve">https://doi.org/10.1093/icesjms/fsu136</w:t>
        </w:r>
      </w:hyperlink>
    </w:p>
    <w:bookmarkEnd w:id="391"/>
    <w:bookmarkStart w:id="393"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392">
        <w:r>
          <w:rPr>
            <w:rStyle w:val="Hyperlink"/>
          </w:rPr>
          <w:t xml:space="preserve">https://doi.org/10.1111/faf.12427</w:t>
        </w:r>
      </w:hyperlink>
    </w:p>
    <w:bookmarkEnd w:id="393"/>
    <w:bookmarkStart w:id="395"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394">
        <w:r>
          <w:rPr>
            <w:rStyle w:val="Hyperlink"/>
          </w:rPr>
          <w:t xml:space="preserve">https://doi.org/10.1002/eap.1606</w:t>
        </w:r>
      </w:hyperlink>
    </w:p>
    <w:bookmarkEnd w:id="395"/>
    <w:bookmarkEnd w:id="396"/>
    <w:bookmarkEnd w:id="397"/>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0" Target="media/rId110.png" /><Relationship Type="http://schemas.openxmlformats.org/officeDocument/2006/relationships/image" Id="rId241" Target="media/rId241.png" /><Relationship Type="http://schemas.openxmlformats.org/officeDocument/2006/relationships/image" Id="rId225" Target="media/rId225.png" /><Relationship Type="http://schemas.openxmlformats.org/officeDocument/2006/relationships/image" Id="rId273" Target="media/rId273.png" /><Relationship Type="http://schemas.openxmlformats.org/officeDocument/2006/relationships/image" Id="rId257" Target="media/rId257.png" /><Relationship Type="http://schemas.openxmlformats.org/officeDocument/2006/relationships/image" Id="rId209" Target="media/rId209.png" /><Relationship Type="http://schemas.openxmlformats.org/officeDocument/2006/relationships/image" Id="rId193" Target="media/rId193.png" /><Relationship Type="http://schemas.openxmlformats.org/officeDocument/2006/relationships/image" Id="rId177" Target="media/rId177.png" /><Relationship Type="http://schemas.openxmlformats.org/officeDocument/2006/relationships/image" Id="rId139" Target="media/rId139.png" /><Relationship Type="http://schemas.openxmlformats.org/officeDocument/2006/relationships/image" Id="rId126" Target="media/rId126.png" /><Relationship Type="http://schemas.openxmlformats.org/officeDocument/2006/relationships/image" Id="rId113" Target="media/rId113.png" /><Relationship Type="http://schemas.openxmlformats.org/officeDocument/2006/relationships/image" Id="rId244" Target="media/rId244.png" /><Relationship Type="http://schemas.openxmlformats.org/officeDocument/2006/relationships/image" Id="rId228" Target="media/rId228.png" /><Relationship Type="http://schemas.openxmlformats.org/officeDocument/2006/relationships/image" Id="rId276" Target="media/rId276.png" /><Relationship Type="http://schemas.openxmlformats.org/officeDocument/2006/relationships/image" Id="rId260" Target="media/rId260.png" /><Relationship Type="http://schemas.openxmlformats.org/officeDocument/2006/relationships/image" Id="rId212" Target="media/rId212.png" /><Relationship Type="http://schemas.openxmlformats.org/officeDocument/2006/relationships/image" Id="rId196" Target="media/rId196.png" /><Relationship Type="http://schemas.openxmlformats.org/officeDocument/2006/relationships/image" Id="rId180" Target="media/rId180.png" /><Relationship Type="http://schemas.openxmlformats.org/officeDocument/2006/relationships/image" Id="rId146" Target="media/rId146.png" /><Relationship Type="http://schemas.openxmlformats.org/officeDocument/2006/relationships/image" Id="rId167" Target="media/rId167.png" /><Relationship Type="http://schemas.openxmlformats.org/officeDocument/2006/relationships/image" Id="rId149" Target="media/rId149.png" /><Relationship Type="http://schemas.openxmlformats.org/officeDocument/2006/relationships/image" Id="rId116" Target="media/rId116.png" /><Relationship Type="http://schemas.openxmlformats.org/officeDocument/2006/relationships/image" Id="rId247" Target="media/rId247.png" /><Relationship Type="http://schemas.openxmlformats.org/officeDocument/2006/relationships/image" Id="rId231" Target="media/rId231.png" /><Relationship Type="http://schemas.openxmlformats.org/officeDocument/2006/relationships/image" Id="rId279" Target="media/rId279.png" /><Relationship Type="http://schemas.openxmlformats.org/officeDocument/2006/relationships/image" Id="rId263" Target="media/rId263.png" /><Relationship Type="http://schemas.openxmlformats.org/officeDocument/2006/relationships/image" Id="rId215" Target="media/rId215.png" /><Relationship Type="http://schemas.openxmlformats.org/officeDocument/2006/relationships/image" Id="rId199" Target="media/rId199.png" /><Relationship Type="http://schemas.openxmlformats.org/officeDocument/2006/relationships/image" Id="rId183" Target="media/rId183.png" /><Relationship Type="http://schemas.openxmlformats.org/officeDocument/2006/relationships/image" Id="rId153" Target="media/rId153.png" /><Relationship Type="http://schemas.openxmlformats.org/officeDocument/2006/relationships/image" Id="rId170" Target="media/rId170.png" /><Relationship Type="http://schemas.openxmlformats.org/officeDocument/2006/relationships/image" Id="rId156" Target="media/rId156.png" /><Relationship Type="http://schemas.openxmlformats.org/officeDocument/2006/relationships/image" Id="rId129" Target="media/rId129.png" /><Relationship Type="http://schemas.openxmlformats.org/officeDocument/2006/relationships/image" Id="rId119" Target="media/rId119.png" /><Relationship Type="http://schemas.openxmlformats.org/officeDocument/2006/relationships/image" Id="rId250" Target="media/rId250.png" /><Relationship Type="http://schemas.openxmlformats.org/officeDocument/2006/relationships/image" Id="rId234" Target="media/rId234.png" /><Relationship Type="http://schemas.openxmlformats.org/officeDocument/2006/relationships/image" Id="rId282" Target="media/rId282.pn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02" Target="media/rId202.png" /><Relationship Type="http://schemas.openxmlformats.org/officeDocument/2006/relationships/image" Id="rId186" Target="media/rId186.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122" Target="media/rId122.png" /><Relationship Type="http://schemas.openxmlformats.org/officeDocument/2006/relationships/image" Id="rId253" Target="media/rId253.png" /><Relationship Type="http://schemas.openxmlformats.org/officeDocument/2006/relationships/image" Id="rId237" Target="media/rId237.png" /><Relationship Type="http://schemas.openxmlformats.org/officeDocument/2006/relationships/image" Id="rId285" Target="media/rId285.png" /><Relationship Type="http://schemas.openxmlformats.org/officeDocument/2006/relationships/image" Id="rId269" Target="media/rId269.png" /><Relationship Type="http://schemas.openxmlformats.org/officeDocument/2006/relationships/image" Id="rId221" Target="media/rId221.png" /><Relationship Type="http://schemas.openxmlformats.org/officeDocument/2006/relationships/image" Id="rId205" Target="media/rId205.png" /><Relationship Type="http://schemas.openxmlformats.org/officeDocument/2006/relationships/image" Id="rId189" Target="media/rId189.png" /><Relationship Type="http://schemas.openxmlformats.org/officeDocument/2006/relationships/image" Id="rId160" Target="media/rId160.png" /><Relationship Type="http://schemas.openxmlformats.org/officeDocument/2006/relationships/image" Id="rId173" Target="media/rId173.png" /><Relationship Type="http://schemas.openxmlformats.org/officeDocument/2006/relationships/image" Id="rId163" Target="media/rId163.png" /><Relationship Type="http://schemas.openxmlformats.org/officeDocument/2006/relationships/image" Id="rId135" Target="media/rId135.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93" Target="media/rId93.png" /><Relationship Type="http://schemas.openxmlformats.org/officeDocument/2006/relationships/image" Id="rId289" Target="media/rId289.png" /><Relationship Type="http://schemas.openxmlformats.org/officeDocument/2006/relationships/image" Id="rId293" Target="media/rId29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02" Target="media/rId302.png" /><Relationship Type="http://schemas.openxmlformats.org/officeDocument/2006/relationships/image" Id="rId298" Target="media/rId298.png" /><Relationship Type="http://schemas.openxmlformats.org/officeDocument/2006/relationships/image" Id="rId315" Target="media/rId315.png" /><Relationship Type="http://schemas.openxmlformats.org/officeDocument/2006/relationships/image" Id="rId319" Target="media/rId319.png" /><Relationship Type="http://schemas.openxmlformats.org/officeDocument/2006/relationships/image" Id="rId332" Target="media/rId332.png" /><Relationship Type="http://schemas.openxmlformats.org/officeDocument/2006/relationships/image" Id="rId336" Target="media/rId336.png" /><Relationship Type="http://schemas.openxmlformats.org/officeDocument/2006/relationships/image" Id="rId328" Target="media/rId328.png" /><Relationship Type="http://schemas.openxmlformats.org/officeDocument/2006/relationships/image" Id="rId324" Target="media/rId324.png" /><Relationship Type="http://schemas.openxmlformats.org/officeDocument/2006/relationships/image" Id="rId80" Target="media/rId80.jpg" /><Relationship Type="http://schemas.openxmlformats.org/officeDocument/2006/relationships/image" Id="rId76" Target="media/rId76.jpg" /><Relationship Type="http://schemas.openxmlformats.org/officeDocument/2006/relationships/hyperlink" Id="rId382" Target="http://sedarweb.org/sedar-57" TargetMode="External" /><Relationship Type="http://schemas.openxmlformats.org/officeDocument/2006/relationships/hyperlink" Id="rId394" Target="https://doi.org/10.1002/eap.1606" TargetMode="External" /><Relationship Type="http://schemas.openxmlformats.org/officeDocument/2006/relationships/hyperlink" Id="rId372" Target="https://doi.org/10.1016/j.fishres.2012.10.012" TargetMode="External" /><Relationship Type="http://schemas.openxmlformats.org/officeDocument/2006/relationships/hyperlink" Id="rId388" Target="https://doi.org/10.1016/j.fishres.2021.105924" TargetMode="External" /><Relationship Type="http://schemas.openxmlformats.org/officeDocument/2006/relationships/hyperlink" Id="rId344" Target="https://doi.org/10.1016/j.fishres.2021.105959" TargetMode="External" /><Relationship Type="http://schemas.openxmlformats.org/officeDocument/2006/relationships/hyperlink" Id="rId362" Target="https://doi.org/10.1016/j.fishres.2022.106477" TargetMode="External" /><Relationship Type="http://schemas.openxmlformats.org/officeDocument/2006/relationships/hyperlink" Id="rId350" Target="https://doi.org/10.1016/j.fishres.2022.106493" TargetMode="External" /><Relationship Type="http://schemas.openxmlformats.org/officeDocument/2006/relationships/hyperlink" Id="rId360" Target="https://doi.org/10.1093/icesjms/fsu131" TargetMode="External" /><Relationship Type="http://schemas.openxmlformats.org/officeDocument/2006/relationships/hyperlink" Id="rId390" Target="https://doi.org/10.1093/icesjms/fsu136" TargetMode="External" /><Relationship Type="http://schemas.openxmlformats.org/officeDocument/2006/relationships/hyperlink" Id="rId342" Target="https://doi.org/10.1111/2041-210x.13081" TargetMode="External" /><Relationship Type="http://schemas.openxmlformats.org/officeDocument/2006/relationships/hyperlink" Id="rId392" Target="https://doi.org/10.1111/faf.12427" TargetMode="External" /><Relationship Type="http://schemas.openxmlformats.org/officeDocument/2006/relationships/hyperlink" Id="rId364" Target="https://doi.org/10.1139/f95-233" TargetMode="External" /><Relationship Type="http://schemas.openxmlformats.org/officeDocument/2006/relationships/hyperlink" Id="rId366" Target="https://doi.org/10.1139/f97-007" TargetMode="External" /><Relationship Type="http://schemas.openxmlformats.org/officeDocument/2006/relationships/hyperlink" Id="rId374" Target="https://doi.org/10.25923/5WPN-QT71" TargetMode="External" /><Relationship Type="http://schemas.openxmlformats.org/officeDocument/2006/relationships/hyperlink" Id="rId346" Target="https://doi.org/10.3354/meps246265" TargetMode="External" /><Relationship Type="http://schemas.openxmlformats.org/officeDocument/2006/relationships/hyperlink" Id="rId348" Target="https://github.com/shcaba/SS-DL-tool" TargetMode="External" /><Relationship Type="http://schemas.openxmlformats.org/officeDocument/2006/relationships/hyperlink" Id="rId398" Target="https://quarto.org/" TargetMode="External" /><Relationship Type="http://schemas.openxmlformats.org/officeDocument/2006/relationships/hyperlink" Id="rId352" Target="https://repository.library.noaa.gov/view/noaa/45275" TargetMode="External" /><Relationship Type="http://schemas.openxmlformats.org/officeDocument/2006/relationships/hyperlink" Id="rId380" Target="https://sedarweb.org/documents/sedar-46-final-stock-assessment-report-caribbean-data-limited-species/" TargetMode="External" /><Relationship Type="http://schemas.openxmlformats.org/officeDocument/2006/relationships/hyperlink" Id="rId384" Target="https://sedarweb.org/documents/sedar-80-us-caribbean-queen-triggerfish-puerto-rico-final-stock-assessment-report/" TargetMode="External" /><Relationship Type="http://schemas.openxmlformats.org/officeDocument/2006/relationships/hyperlink" Id="rId358" Target="https://sedarweb.org/documents/sedar-80-wp-02-national-coral-reef-monitoring-programs-reef-fish-visual-census-metadata-for-the-u-s-caribbean/" TargetMode="External" /><Relationship Type="http://schemas.openxmlformats.org/officeDocument/2006/relationships/hyperlink" Id="rId378" Target="https://sedarweb.org/documents/sedar-84-ap-01-report-on-the-status-of-u-s-caribbean-stoplight-parrotfish-sparisoma-viride-age-growth-and-reproductive-biology-for-the-sedar84-stock-assessment" TargetMode="External" /><Relationship Type="http://schemas.openxmlformats.org/officeDocument/2006/relationships/hyperlink" Id="rId370" Target="https://sedarweb.org/documents/sedar-84-dw-03-sedar-84-commercial-fishery-landings-of-stoplight-parrotfish-sparisoma-viride-in-st-croix-us-caribbean-2012-2022/" TargetMode="External" /><Relationship Type="http://schemas.openxmlformats.org/officeDocument/2006/relationships/hyperlink" Id="rId368"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354" Target="https://sedarweb.org/documents/sedar-84-dw-11-sedar-84-trip-interview-program-tip-size-composition-analysis-of-stoplight-parrotfish-sparisoma-viride-in-st-croix-u-s-caribbean-1983-2022/" TargetMode="External" /><Relationship Type="http://schemas.openxmlformats.org/officeDocument/2006/relationships/hyperlink" Id="rId356" Target="https://sedarweb.org/documents/sedar-84-dw-14-fishery-independent-reef-fish-visual-survey-population-density-and-length-composition-for-stoplight-parrotfish-in-the-st-croix/" TargetMode="External" /><Relationship Type="http://schemas.openxmlformats.org/officeDocument/2006/relationships/hyperlink" Id="rId386" Target="https://sedarweb.org/documents/sedar-84-us-caribbean-stoplight-parrotfish-st-croix-data-workshop-report/" TargetMode="External" /><Relationship Type="http://schemas.openxmlformats.org/officeDocument/2006/relationships/hyperlink" Id="rId376"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82" Target="http://sedarweb.org/sedar-57" TargetMode="External" /><Relationship Type="http://schemas.openxmlformats.org/officeDocument/2006/relationships/hyperlink" Id="rId394" Target="https://doi.org/10.1002/eap.1606" TargetMode="External" /><Relationship Type="http://schemas.openxmlformats.org/officeDocument/2006/relationships/hyperlink" Id="rId372" Target="https://doi.org/10.1016/j.fishres.2012.10.012" TargetMode="External" /><Relationship Type="http://schemas.openxmlformats.org/officeDocument/2006/relationships/hyperlink" Id="rId388" Target="https://doi.org/10.1016/j.fishres.2021.105924" TargetMode="External" /><Relationship Type="http://schemas.openxmlformats.org/officeDocument/2006/relationships/hyperlink" Id="rId344" Target="https://doi.org/10.1016/j.fishres.2021.105959" TargetMode="External" /><Relationship Type="http://schemas.openxmlformats.org/officeDocument/2006/relationships/hyperlink" Id="rId362" Target="https://doi.org/10.1016/j.fishres.2022.106477" TargetMode="External" /><Relationship Type="http://schemas.openxmlformats.org/officeDocument/2006/relationships/hyperlink" Id="rId350" Target="https://doi.org/10.1016/j.fishres.2022.106493" TargetMode="External" /><Relationship Type="http://schemas.openxmlformats.org/officeDocument/2006/relationships/hyperlink" Id="rId360" Target="https://doi.org/10.1093/icesjms/fsu131" TargetMode="External" /><Relationship Type="http://schemas.openxmlformats.org/officeDocument/2006/relationships/hyperlink" Id="rId390" Target="https://doi.org/10.1093/icesjms/fsu136" TargetMode="External" /><Relationship Type="http://schemas.openxmlformats.org/officeDocument/2006/relationships/hyperlink" Id="rId342" Target="https://doi.org/10.1111/2041-210x.13081" TargetMode="External" /><Relationship Type="http://schemas.openxmlformats.org/officeDocument/2006/relationships/hyperlink" Id="rId392" Target="https://doi.org/10.1111/faf.12427" TargetMode="External" /><Relationship Type="http://schemas.openxmlformats.org/officeDocument/2006/relationships/hyperlink" Id="rId364" Target="https://doi.org/10.1139/f95-233" TargetMode="External" /><Relationship Type="http://schemas.openxmlformats.org/officeDocument/2006/relationships/hyperlink" Id="rId366" Target="https://doi.org/10.1139/f97-007" TargetMode="External" /><Relationship Type="http://schemas.openxmlformats.org/officeDocument/2006/relationships/hyperlink" Id="rId374" Target="https://doi.org/10.25923/5WPN-QT71" TargetMode="External" /><Relationship Type="http://schemas.openxmlformats.org/officeDocument/2006/relationships/hyperlink" Id="rId346" Target="https://doi.org/10.3354/meps246265" TargetMode="External" /><Relationship Type="http://schemas.openxmlformats.org/officeDocument/2006/relationships/hyperlink" Id="rId348" Target="https://github.com/shcaba/SS-DL-tool" TargetMode="External" /><Relationship Type="http://schemas.openxmlformats.org/officeDocument/2006/relationships/hyperlink" Id="rId398" Target="https://quarto.org/" TargetMode="External" /><Relationship Type="http://schemas.openxmlformats.org/officeDocument/2006/relationships/hyperlink" Id="rId352" Target="https://repository.library.noaa.gov/view/noaa/45275" TargetMode="External" /><Relationship Type="http://schemas.openxmlformats.org/officeDocument/2006/relationships/hyperlink" Id="rId380" Target="https://sedarweb.org/documents/sedar-46-final-stock-assessment-report-caribbean-data-limited-species/" TargetMode="External" /><Relationship Type="http://schemas.openxmlformats.org/officeDocument/2006/relationships/hyperlink" Id="rId384" Target="https://sedarweb.org/documents/sedar-80-us-caribbean-queen-triggerfish-puerto-rico-final-stock-assessment-report/" TargetMode="External" /><Relationship Type="http://schemas.openxmlformats.org/officeDocument/2006/relationships/hyperlink" Id="rId358" Target="https://sedarweb.org/documents/sedar-80-wp-02-national-coral-reef-monitoring-programs-reef-fish-visual-census-metadata-for-the-u-s-caribbean/" TargetMode="External" /><Relationship Type="http://schemas.openxmlformats.org/officeDocument/2006/relationships/hyperlink" Id="rId378" Target="https://sedarweb.org/documents/sedar-84-ap-01-report-on-the-status-of-u-s-caribbean-stoplight-parrotfish-sparisoma-viride-age-growth-and-reproductive-biology-for-the-sedar84-stock-assessment" TargetMode="External" /><Relationship Type="http://schemas.openxmlformats.org/officeDocument/2006/relationships/hyperlink" Id="rId370" Target="https://sedarweb.org/documents/sedar-84-dw-03-sedar-84-commercial-fishery-landings-of-stoplight-parrotfish-sparisoma-viride-in-st-croix-us-caribbean-2012-2022/" TargetMode="External" /><Relationship Type="http://schemas.openxmlformats.org/officeDocument/2006/relationships/hyperlink" Id="rId368"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354" Target="https://sedarweb.org/documents/sedar-84-dw-11-sedar-84-trip-interview-program-tip-size-composition-analysis-of-stoplight-parrotfish-sparisoma-viride-in-st-croix-u-s-caribbean-1983-2022/" TargetMode="External" /><Relationship Type="http://schemas.openxmlformats.org/officeDocument/2006/relationships/hyperlink" Id="rId356" Target="https://sedarweb.org/documents/sedar-84-dw-14-fishery-independent-reef-fish-visual-survey-population-density-and-length-composition-for-stoplight-parrotfish-in-the-st-croix/" TargetMode="External" /><Relationship Type="http://schemas.openxmlformats.org/officeDocument/2006/relationships/hyperlink" Id="rId386" Target="https://sedarweb.org/documents/sedar-84-us-caribbean-stoplight-parrotfish-st-croix-data-workshop-report/" TargetMode="External" /><Relationship Type="http://schemas.openxmlformats.org/officeDocument/2006/relationships/hyperlink" Id="rId376"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2025-04-22T18:18:44Z</dcterms:created>
  <dcterms:modified xsi:type="dcterms:W3CDTF">2025-04-22T18:18:44Z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