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88" w:name="data-access-and-upload"/>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88"/>
    <w:bookmarkStart w:id="92"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17" w:name="data-access-and-upload-1"/>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22894ae36b77d4b708e65cbe2e86c5924bd53b9"/>
    <w:p>
      <w:pPr>
        <w:pStyle w:val="Heading1"/>
      </w:pPr>
      <w:r>
        <w:t xml:space="preserve">12. Analysis of international catches in territorial waters</w:t>
      </w:r>
    </w:p>
    <w:bookmarkStart w:id="132" w:name="data-access-and-upload-2"/>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2"/>
    <w:bookmarkEnd w:id="183"/>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2026-03-17T21:40:29Z</dcterms:created>
  <dcterms:modified xsi:type="dcterms:W3CDTF">2026-03-17T21:40:29Z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