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4" w:name="sau"/>
    <w:p>
      <w:pPr>
        <w:pStyle w:val="Heading1"/>
      </w:pPr>
      <w:r>
        <w:t xml:space="preserve">3. SAU</w:t>
      </w:r>
    </w:p>
    <w:bookmarkEnd w:id="44"/>
    <w:bookmarkStart w:id="79" w:name="Xe26c3f41e1745c86da5f9014b1083b8d1813786"/>
    <w:p>
      <w:pPr>
        <w:pStyle w:val="Heading1"/>
      </w:pPr>
      <w:r>
        <w:t xml:space="preserve">4. Analysis of international landings estimates from Sea Around Us database</w:t>
      </w:r>
    </w:p>
    <w:p>
      <w:pPr>
        <w:pStyle w:val="FirstParagraph"/>
      </w:pPr>
      <w:r>
        <w:t xml:space="preserve">Here we will explore commercial and recreational landings data as estimated by the</w:t>
      </w:r>
      <w:r>
        <w:t xml:space="preserve"> </w:t>
      </w:r>
      <w:hyperlink r:id="rId45">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8" w:name="data-access-and-upload-1"/>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46">
        <w:r>
          <w:rPr>
            <w:rStyle w:val="Hyperlink"/>
          </w:rPr>
          <w:t xml:space="preserve">Sea Around Us site</w:t>
        </w:r>
      </w:hyperlink>
      <w:r>
        <w:t xml:space="preserve">.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7">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This was still the most recent version of data available as of June 2025.</w:t>
      </w:r>
    </w:p>
    <w:bookmarkEnd w:id="48"/>
    <w:bookmarkStart w:id="76" w:name="read-in-the-high-seas-landings"/>
    <w:p>
      <w:pPr>
        <w:pStyle w:val="Heading2"/>
      </w:pPr>
      <w:r>
        <w:t xml:space="preserve">4.2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FunctionTok"/>
        </w:rPr>
        <w:t xml:space="preserve">print</w:t>
      </w:r>
      <w:r>
        <w:rPr>
          <w:rStyle w:val="NormalTok"/>
        </w:rPr>
        <w:t xml:space="preserve">(</w:t>
      </w:r>
      <w:r>
        <w:rPr>
          <w:rStyle w:val="StringTok"/>
        </w:rPr>
        <w:t xml:space="preserve">"File names:"</w:t>
      </w:r>
      <w:r>
        <w:rPr>
          <w:rStyle w:val="NormalTok"/>
        </w:rPr>
        <w:t xml:space="preserve">)</w:t>
      </w:r>
    </w:p>
    <w:p>
      <w:pPr>
        <w:pStyle w:val="SourceCode"/>
      </w:pPr>
      <w:r>
        <w:rPr>
          <w:rStyle w:val="VerbatimChar"/>
        </w:rPr>
        <w:t xml:space="preserve">[1] "File names:"</w:t>
      </w:r>
    </w:p>
    <w:p>
      <w:pPr>
        <w:pStyle w:val="SourceCode"/>
      </w:pPr>
      <w:r>
        <w:rPr>
          <w:rStyle w:val="NormalTok"/>
        </w:rPr>
        <w:t xml:space="preserve">hslis[</w:t>
      </w:r>
      <w:r>
        <w:rPr>
          <w:rStyle w:val="DecValTok"/>
        </w:rPr>
        <w:t xml:space="preserve">1</w:t>
      </w:r>
      <w:r>
        <w:rPr>
          <w:rStyle w:val="NormalTok"/>
        </w:rPr>
        <w:t xml:space="preserve">]</w:t>
      </w:r>
    </w:p>
    <w:p>
      <w:pPr>
        <w:pStyle w:val="SourceCode"/>
      </w:pPr>
      <w:r>
        <w:rPr>
          <w:rStyle w:val="VerbatimChar"/>
        </w:rPr>
        <w:t xml:space="preserve">[1] "SAU HighSeas 21 v50-1.csv"</w:t>
      </w:r>
    </w:p>
    <w:p>
      <w:pPr>
        <w:pStyle w:val="SourceCode"/>
      </w:pPr>
      <w:r>
        <w:rPr>
          <w:rStyle w:val="NormalTok"/>
        </w:rPr>
        <w:t xml:space="preserve">hslis[</w:t>
      </w:r>
      <w:r>
        <w:rPr>
          <w:rStyle w:val="DecValTok"/>
        </w:rPr>
        <w:t xml:space="preserve">3</w:t>
      </w:r>
      <w:r>
        <w:rPr>
          <w:rStyle w:val="NormalTok"/>
        </w:rPr>
        <w:t xml:space="preserve">]</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FunctionTok"/>
        </w:rPr>
        <w:t xml:space="preserve">print</w:t>
      </w:r>
      <w:r>
        <w:rPr>
          <w:rStyle w:val="NormalTok"/>
        </w:rPr>
        <w:t xml:space="preserve">(</w:t>
      </w:r>
      <w:r>
        <w:rPr>
          <w:rStyle w:val="StringTok"/>
        </w:rPr>
        <w:t xml:space="preserve">"Areas:"</w:t>
      </w:r>
      <w:r>
        <w:rPr>
          <w:rStyle w:val="NormalTok"/>
        </w:rPr>
        <w:t xml:space="preserve">)</w:t>
      </w:r>
    </w:p>
    <w:p>
      <w:pPr>
        <w:pStyle w:val="SourceCode"/>
      </w:pPr>
      <w:r>
        <w:rPr>
          <w:rStyle w:val="VerbatimChar"/>
        </w:rPr>
        <w:t xml:space="preserve">[1] "Areas:"</w:t>
      </w:r>
    </w:p>
    <w:p>
      <w:pPr>
        <w:pStyle w:val="SourceCode"/>
      </w:pPr>
      <w:r>
        <w:rPr>
          <w:rStyle w:val="FunctionTok"/>
        </w:rPr>
        <w:t xml:space="preserve">unique</w:t>
      </w:r>
      <w:r>
        <w:rPr>
          <w:rStyle w:val="NormalTok"/>
        </w:rPr>
        <w:t xml:space="preserve">(h1</w:t>
      </w:r>
      <w:r>
        <w:rPr>
          <w:rStyle w:val="SpecialCharTok"/>
        </w:rPr>
        <w:t xml:space="preserve">$</w:t>
      </w:r>
      <w:r>
        <w:rPr>
          <w:rStyle w:val="NormalTok"/>
        </w:rPr>
        <w:t xml:space="preserve">area_name)</w:t>
      </w:r>
    </w:p>
    <w:p>
      <w:pPr>
        <w:pStyle w:val="SourceCode"/>
      </w:pPr>
      <w:r>
        <w:rPr>
          <w:rStyle w:val="VerbatimChar"/>
        </w:rPr>
        <w:t xml:space="preserve">[1] "Atlantic, Northwest"</w:t>
      </w:r>
    </w:p>
    <w:p>
      <w:pPr>
        <w:pStyle w:val="SourceCode"/>
      </w:pPr>
      <w:r>
        <w:rPr>
          <w:rStyle w:val="FunctionTok"/>
        </w:rPr>
        <w:t xml:space="preserve">unique</w:t>
      </w:r>
      <w:r>
        <w:rPr>
          <w:rStyle w:val="NormalTok"/>
        </w:rPr>
        <w:t xml:space="preserve">(h3</w:t>
      </w:r>
      <w:r>
        <w:rPr>
          <w:rStyle w:val="SpecialCharTok"/>
        </w:rPr>
        <w:t xml:space="preserve">$</w:t>
      </w:r>
      <w:r>
        <w:rPr>
          <w:rStyle w:val="NormalTok"/>
        </w:rPr>
        <w:t xml:space="preserve">area_name)</w:t>
      </w:r>
    </w:p>
    <w:p>
      <w:pPr>
        <w:pStyle w:val="SourceCode"/>
      </w:pPr>
      <w:r>
        <w:rPr>
          <w:rStyle w:val="VerbatimChar"/>
        </w:rPr>
        <w:t xml:space="preserve">[1] "Atlantic, Western Central"</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CommentTok"/>
        </w:rPr>
        <w:t xml:space="preserve">#par(mar = c(10, 5, 3, 1), mfrow = c(4, 2))</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SAU_files/figure-docx/unnamed-chunk-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2-2.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SAU_files/figure-docx/unnamed-chunk-2-3.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files/figure-docx/unnamed-chunk-2-4.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AU_files/figure-docx/unnamed-chunk-2-5.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2-6.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p>
    <w:p>
      <w:pPr>
        <w:pStyle w:val="FirstParagraph"/>
      </w:pPr>
      <w:r>
        <w:drawing>
          <wp:inline>
            <wp:extent cx="4620126" cy="3696101"/>
            <wp:effectExtent b="0" l="0" r="0" t="0"/>
            <wp:docPr descr="" title="" id="68" name="Picture"/>
            <a:graphic>
              <a:graphicData uri="http://schemas.openxmlformats.org/drawingml/2006/picture">
                <pic:pic>
                  <pic:nvPicPr>
                    <pic:cNvPr descr="SAU_files/figure-docx/unnamed-chunk-2-7.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SAU_files/figure-docx/unnamed-chunk-2-8.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plot the annual catches by fishing entity to look at trends over time.</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3-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#table(hs$fishing_entity)</w:t>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1950               0.000                     0.000</w:t>
      </w:r>
      <w:r>
        <w:br/>
      </w:r>
      <w:r>
        <w:rPr>
          <w:rStyle w:val="VerbatimChar"/>
        </w:rPr>
        <w:t xml:space="preserve">1951               0.000                     0.000</w:t>
      </w:r>
      <w:r>
        <w:br/>
      </w:r>
      <w:r>
        <w:rPr>
          <w:rStyle w:val="VerbatimChar"/>
        </w:rPr>
        <w:t xml:space="preserve">1952               0.000                     0.000</w:t>
      </w:r>
      <w:r>
        <w:br/>
      </w:r>
      <w:r>
        <w:rPr>
          <w:rStyle w:val="VerbatimChar"/>
        </w:rPr>
        <w:t xml:space="preserve">1953               0.000                     0.000</w:t>
      </w:r>
      <w:r>
        <w:br/>
      </w:r>
      <w:r>
        <w:rPr>
          <w:rStyle w:val="VerbatimChar"/>
        </w:rPr>
        <w:t xml:space="preserve">1954               0.000                     0.000</w:t>
      </w:r>
      <w:r>
        <w:br/>
      </w:r>
      <w:r>
        <w:rPr>
          <w:rStyle w:val="VerbatimChar"/>
        </w:rPr>
        <w:t xml:space="preserve">1955               0.000                     0.000</w:t>
      </w:r>
      <w:r>
        <w:br/>
      </w:r>
      <w:r>
        <w:rPr>
          <w:rStyle w:val="VerbatimChar"/>
        </w:rPr>
        <w:t xml:space="preserve">1956               0.000                     0.000</w:t>
      </w:r>
      <w:r>
        <w:br/>
      </w:r>
      <w:r>
        <w:rPr>
          <w:rStyle w:val="VerbatimChar"/>
        </w:rPr>
        <w:t xml:space="preserve">1957               0.000                     0.000</w:t>
      </w:r>
      <w:r>
        <w:br/>
      </w:r>
      <w:r>
        <w:rPr>
          <w:rStyle w:val="VerbatimChar"/>
        </w:rPr>
        <w:t xml:space="preserve">1958               0.000                     0.000</w:t>
      </w:r>
      <w:r>
        <w:br/>
      </w:r>
      <w:r>
        <w:rPr>
          <w:rStyle w:val="VerbatimChar"/>
        </w:rPr>
        <w:t xml:space="preserve">1959               0.000                     0.000</w:t>
      </w:r>
      <w:r>
        <w:br/>
      </w:r>
      <w:r>
        <w:rPr>
          <w:rStyle w:val="VerbatimChar"/>
        </w:rPr>
        <w:t xml:space="preserve">1960               0.000                     0.000</w:t>
      </w:r>
      <w:r>
        <w:br/>
      </w:r>
      <w:r>
        <w:rPr>
          <w:rStyle w:val="VerbatimChar"/>
        </w:rPr>
        <w:t xml:space="preserve">1961               0.000                     0.000</w:t>
      </w:r>
      <w:r>
        <w:br/>
      </w:r>
      <w:r>
        <w:rPr>
          <w:rStyle w:val="VerbatimChar"/>
        </w:rPr>
        <w:t xml:space="preserve">1962               0.000                     0.000</w:t>
      </w:r>
      <w:r>
        <w:br/>
      </w:r>
      <w:r>
        <w:rPr>
          <w:rStyle w:val="VerbatimChar"/>
        </w:rPr>
        <w:t xml:space="preserve">1963               0.000                     0.000</w:t>
      </w:r>
      <w:r>
        <w:br/>
      </w:r>
      <w:r>
        <w:rPr>
          <w:rStyle w:val="VerbatimChar"/>
        </w:rPr>
        <w:t xml:space="preserve">1964               0.000                     0.000</w:t>
      </w:r>
      <w:r>
        <w:br/>
      </w:r>
      <w:r>
        <w:rPr>
          <w:rStyle w:val="VerbatimChar"/>
        </w:rPr>
        <w:t xml:space="preserve">1965               0.000                     0.000</w:t>
      </w:r>
      <w:r>
        <w:br/>
      </w:r>
      <w:r>
        <w:rPr>
          <w:rStyle w:val="VerbatimChar"/>
        </w:rPr>
        <w:t xml:space="preserve">1966               0.000                     0.000</w:t>
      </w:r>
      <w:r>
        <w:br/>
      </w:r>
      <w:r>
        <w:rPr>
          <w:rStyle w:val="VerbatimChar"/>
        </w:rPr>
        <w:t xml:space="preserve">1967               0.000                     0.000</w:t>
      </w:r>
      <w:r>
        <w:br/>
      </w:r>
      <w:r>
        <w:rPr>
          <w:rStyle w:val="VerbatimChar"/>
        </w:rPr>
        <w:t xml:space="preserve">1968               0.000                     0.000</w:t>
      </w:r>
      <w:r>
        <w:br/>
      </w:r>
      <w:r>
        <w:rPr>
          <w:rStyle w:val="VerbatimChar"/>
        </w:rPr>
        <w:t xml:space="preserve">1969               0.000                     0.000</w:t>
      </w:r>
      <w:r>
        <w:br/>
      </w:r>
      <w:r>
        <w:rPr>
          <w:rStyle w:val="VerbatimChar"/>
        </w:rPr>
        <w:t xml:space="preserve">1970               0.000                     0.000</w:t>
      </w:r>
      <w:r>
        <w:br/>
      </w:r>
      <w:r>
        <w:rPr>
          <w:rStyle w:val="VerbatimChar"/>
        </w:rPr>
        <w:t xml:space="preserve">1971               0.000                     0.000</w:t>
      </w:r>
      <w:r>
        <w:br/>
      </w:r>
      <w:r>
        <w:rPr>
          <w:rStyle w:val="VerbatimChar"/>
        </w:rPr>
        <w:t xml:space="preserve">1972               0.000                     0.000</w:t>
      </w:r>
      <w:r>
        <w:br/>
      </w:r>
      <w:r>
        <w:rPr>
          <w:rStyle w:val="VerbatimChar"/>
        </w:rPr>
        <w:t xml:space="preserve">1973               0.000                     0.000</w:t>
      </w:r>
      <w:r>
        <w:br/>
      </w:r>
      <w:r>
        <w:rPr>
          <w:rStyle w:val="VerbatimChar"/>
        </w:rPr>
        <w:t xml:space="preserve">1974               0.000                     0.000</w:t>
      </w:r>
      <w:r>
        <w:br/>
      </w:r>
      <w:r>
        <w:rPr>
          <w:rStyle w:val="VerbatimChar"/>
        </w:rPr>
        <w:t xml:space="preserve">1975               0.000                     0.000</w:t>
      </w:r>
      <w:r>
        <w:br/>
      </w:r>
      <w:r>
        <w:rPr>
          <w:rStyle w:val="VerbatimChar"/>
        </w:rPr>
        <w:t xml:space="preserve">1976               0.000                     0.000</w:t>
      </w:r>
      <w:r>
        <w:br/>
      </w:r>
      <w:r>
        <w:rPr>
          <w:rStyle w:val="VerbatimChar"/>
        </w:rPr>
        <w:t xml:space="preserve">1977               0.000                     0.000</w:t>
      </w:r>
      <w:r>
        <w:br/>
      </w:r>
      <w:r>
        <w:rPr>
          <w:rStyle w:val="VerbatimChar"/>
        </w:rPr>
        <w:t xml:space="preserve">1978               0.000                     0.000</w:t>
      </w:r>
      <w:r>
        <w:br/>
      </w:r>
      <w:r>
        <w:rPr>
          <w:rStyle w:val="VerbatimChar"/>
        </w:rPr>
        <w:t xml:space="preserve">1979               0.000                     0.000</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76"/>
    <w:bookmarkStart w:id="77" w:name="summarize-the-landings-1"/>
    <w:p>
      <w:pPr>
        <w:pStyle w:val="Heading2"/>
      </w:pPr>
      <w:r>
        <w:t xml:space="preserve">4.3 Summarize the landings</w:t>
      </w:r>
    </w:p>
    <w:p>
      <w:pPr>
        <w:pStyle w:val="FirstParagraph"/>
      </w:pPr>
      <w:r>
        <w:t xml:space="preserve">xxx</w:t>
      </w:r>
    </w:p>
    <w:bookmarkEnd w:id="77"/>
    <w:bookmarkStart w:id="78" w:name="xxx"/>
    <w:p>
      <w:pPr>
        <w:pStyle w:val="Heading2"/>
      </w:pPr>
      <w:r>
        <w:t xml:space="preserve">4.4 xxx</w:t>
      </w:r>
    </w:p>
    <w:p>
      <w:pPr>
        <w:pStyle w:val="FirstParagraph"/>
      </w:pPr>
      <w:r>
        <w:t xml:space="preserve">xxx</w:t>
      </w:r>
    </w:p>
    <w:bookmarkEnd w:id="78"/>
    <w:bookmarkEnd w:id="79"/>
    <w:bookmarkStart w:id="80" w:name="sst"/>
    <w:p>
      <w:pPr>
        <w:pStyle w:val="Heading1"/>
      </w:pPr>
      <w:r>
        <w:t xml:space="preserve">5. SST</w:t>
      </w:r>
    </w:p>
    <w:bookmarkEnd w:id="80"/>
    <w:bookmarkStart w:id="81" w:name="analysis-of-ocean-temperature-trends"/>
    <w:p>
      <w:pPr>
        <w:pStyle w:val="Heading1"/>
      </w:pPr>
      <w:r>
        <w:t xml:space="preserve">6. Analysis of ocean temperature trends</w:t>
      </w:r>
    </w:p>
    <w:p>
      <w:pPr>
        <w:pStyle w:val="FirstParagraph"/>
      </w:pPr>
      <w:r>
        <w:t xml:space="preserve">Coming soon</w:t>
      </w:r>
    </w:p>
    <w:bookmarkEnd w:id="8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82"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45" Target="https://www.seaaroundus.org/data/#/eez" TargetMode="External" /><Relationship Type="http://schemas.openxmlformats.org/officeDocument/2006/relationships/hyperlink" Id="rId47" Target="https://www.seaaroundus.org/data/#/highseas" TargetMode="External" /><Relationship Type="http://schemas.openxmlformats.org/officeDocument/2006/relationships/hyperlink" Id="rId4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82"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45" Target="https://www.seaaroundus.org/data/#/eez" TargetMode="External" /><Relationship Type="http://schemas.openxmlformats.org/officeDocument/2006/relationships/hyperlink" Id="rId47" Target="https://www.seaaroundus.org/data/#/highseas" TargetMode="External" /><Relationship Type="http://schemas.openxmlformats.org/officeDocument/2006/relationships/hyperlink" Id="rId4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2025-06-09T19:48:44Z</dcterms:created>
  <dcterms:modified xsi:type="dcterms:W3CDTF">2025-06-09T19:48:44Z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