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Light" w:hAnsi="Calibri Light"/>
          <w:b/>
          <w:color w:val="1B3F6E"/>
          <w:sz w:val="56"/>
        </w:rPr>
        <w:t>ASSISTANT IA JURIDIQUE</w:t>
      </w:r>
    </w:p>
    <w:p/>
    <w:p>
      <w:pPr>
        <w:jc w:val="center"/>
      </w:pPr>
      <w:r>
        <w:rPr>
          <w:rFonts w:ascii="Calibri" w:hAnsi="Calibri"/>
          <w:i/>
          <w:color w:val="5A5A5A"/>
          <w:sz w:val="32"/>
        </w:rPr>
        <w:t>Cahier des Charges</w:t>
      </w:r>
    </w:p>
    <w:p/>
    <w:p/>
    <w:p/>
    <w:p/>
    <w:p>
      <w:pPr>
        <w:jc w:val="center"/>
      </w:pPr>
      <w:r>
        <w:rPr>
          <w:rFonts w:ascii="Calibri" w:hAnsi="Calibri"/>
          <w:color w:val="888888"/>
          <w:sz w:val="20"/>
        </w:rPr>
        <w:t>Généré par Mawaba Engine</w:t>
      </w:r>
    </w:p>
    <w:p>
      <w:r>
        <w:br w:type="page"/>
      </w:r>
    </w:p>
    <w:p>
      <w:pPr>
        <w:pStyle w:val="Heading1"/>
      </w:pPr>
      <w:r>
        <w:rPr>
          <w:rFonts w:ascii="Calibri Light" w:hAnsi="Calibri Light"/>
          <w:b/>
          <w:color w:val="1F4E79"/>
          <w:sz w:val="36"/>
        </w:rPr>
        <w:t>Assistant IA Juridique</w:t>
      </w:r>
    </w:p>
    <w:p/>
    <w:p>
      <w:pPr>
        <w:pStyle w:val="Heading2"/>
      </w:pPr>
      <w:r>
        <w:rPr>
          <w:rFonts w:ascii="Calibri Light" w:hAnsi="Calibri Light"/>
          <w:b/>
          <w:color w:val="2E75B6"/>
          <w:sz w:val="28"/>
        </w:rPr>
        <w:t>1. Synopsis Architecture</w:t>
      </w:r>
    </w:p>
    <w:p/>
    <w:p>
      <w:pPr>
        <w:jc w:val="both"/>
      </w:pPr>
      <w:r>
        <w:rPr>
          <w:rFonts w:ascii="Calibri" w:hAnsi="Calibri"/>
          <w:sz w:val="22"/>
        </w:rPr>
        <w:t>L'architecture de l'Assistant IA Juridique sera basée sur un modèle de traitement du langage naturel (NLP) utilisant le framework Hugging Face Transformers, avec un modèle de type Rag (Retrieval-Augmented Generation) pour générer des réponses pertinentes aux questions des professionnels du droit. Les données seront stockées dans une base de données NoSQL MongoDB, permettant une flexibilité et une évolutivité pour gérer les documents PDF et les informations issues des sites Web. L'application sera développée en utilisant le framework Flask pour la création d'une API RESTful, et sera déployée sur un serveur cloud AWS, garantissant ainsi une sécurité et une conformité au RGPD. Le stockage et la recherche des données seront gérés par Pinecone Cloud, permettant une recherche efficace et rapide dans les documents. L'interface utilisateur sera conçue en utilisant React, pour offrir une expérience utilisateur intuitive et conviviale. Les dépenses seront gérées pour rester dans le budget de 1 000 000 FCFA, et le projet sera mené à terme dans les 12 mois impartis.</w:t>
      </w:r>
    </w:p>
    <w:p/>
    <w:p>
      <w:pPr>
        <w:pStyle w:val="Heading2"/>
      </w:pPr>
      <w:r>
        <w:rPr>
          <w:rFonts w:ascii="Calibri Light" w:hAnsi="Calibri Light"/>
          <w:b/>
          <w:color w:val="2E75B6"/>
          <w:sz w:val="28"/>
        </w:rPr>
        <w:t>2. Architecture Technique &amp; Composants</w:t>
      </w:r>
    </w:p>
    <w:p/>
    <w:p>
      <w:pPr>
        <w:pStyle w:val="Heading3"/>
      </w:pPr>
      <w:r>
        <w:rPr>
          <w:rFonts w:ascii="Calibri Light" w:hAnsi="Calibri Light"/>
          <w:b/>
          <w:color w:val="448ACA"/>
          <w:sz w:val="24"/>
        </w:rPr>
        <w:t>Architecture Technique &amp; Composants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Calibri" w:hAnsi="Calibri"/>
                <w:b/>
                <w:sz w:val="22"/>
              </w:rPr>
              <w:t>Rôle du Composant</w:t>
            </w:r>
          </w:p>
        </w:tc>
        <w:tc>
          <w:tcPr>
            <w:tcW w:type="dxa" w:w="3120"/>
          </w:tcPr>
          <w:p>
            <w:pPr>
              <w:jc w:val="center"/>
            </w:pPr>
            <w:r>
              <w:rPr>
                <w:rFonts w:ascii="Calibri" w:hAnsi="Calibri"/>
                <w:b/>
                <w:sz w:val="22"/>
              </w:rPr>
              <w:t>Outil Technique Choisi</w:t>
            </w:r>
          </w:p>
        </w:tc>
        <w:tc>
          <w:tcPr>
            <w:tcW w:type="dxa" w:w="3120"/>
          </w:tcPr>
          <w:p>
            <w:pPr>
              <w:jc w:val="center"/>
            </w:pPr>
            <w:r>
              <w:rPr>
                <w:rFonts w:ascii="Calibri" w:hAnsi="Calibri"/>
                <w:b/>
                <w:sz w:val="22"/>
              </w:rPr>
              <w:t>Justification</w:t>
            </w:r>
          </w:p>
        </w:tc>
      </w:tr>
      <w:tr>
        <w:tc>
          <w:tcPr>
            <w:tcW w:type="dxa" w:w="3120"/>
          </w:tcPr>
          <w:p>
            <w:r>
              <w:rPr>
                <w:rFonts w:ascii="Calibri" w:hAnsi="Calibri"/>
                <w:sz w:val="22"/>
              </w:rPr>
              <w:t>Base de données vectorielle</w:t>
            </w:r>
          </w:p>
        </w:tc>
        <w:tc>
          <w:tcPr>
            <w:tcW w:type="dxa" w:w="3120"/>
          </w:tcPr>
          <w:p>
            <w:r>
              <w:rPr>
                <w:rFonts w:ascii="Calibri" w:hAnsi="Calibri"/>
                <w:sz w:val="22"/>
              </w:rPr>
              <w:t>Pinecone Cloud</w:t>
            </w:r>
          </w:p>
        </w:tc>
        <w:tc>
          <w:tcPr>
            <w:tcW w:type="dxa" w:w="3120"/>
          </w:tcPr>
          <w:p>
            <w:r>
              <w:rPr>
                <w:rFonts w:ascii="Calibri" w:hAnsi="Calibri"/>
                <w:sz w:val="22"/>
              </w:rPr>
              <w:t>Pour stocker et gérer efficacement les embeddings vectoriels des documents juridiques, Pinecone offre une solution scalable et sécurisée, conforme aux exigences de confidentialité et de sécurité du RGPD.</w:t>
            </w:r>
          </w:p>
        </w:tc>
      </w:tr>
      <w:tr>
        <w:tc>
          <w:tcPr>
            <w:tcW w:type="dxa" w:w="3120"/>
          </w:tcPr>
          <w:p>
            <w:r>
              <w:rPr>
                <w:rFonts w:ascii="Calibri" w:hAnsi="Calibri"/>
                <w:sz w:val="22"/>
              </w:rPr>
              <w:t>Modèle d'Embedding</w:t>
            </w:r>
          </w:p>
        </w:tc>
        <w:tc>
          <w:tcPr>
            <w:tcW w:type="dxa" w:w="3120"/>
          </w:tcPr>
          <w:p>
            <w:r>
              <w:rPr>
                <w:rFonts w:ascii="Calibri" w:hAnsi="Calibri"/>
                <w:sz w:val="22"/>
              </w:rPr>
              <w:t>Sentence-BERT (sbert.net)</w:t>
            </w:r>
          </w:p>
        </w:tc>
        <w:tc>
          <w:tcPr>
            <w:tcW w:type="dxa" w:w="3120"/>
          </w:tcPr>
          <w:p>
            <w:r>
              <w:rPr>
                <w:rFonts w:ascii="Calibri" w:hAnsi="Calibri"/>
                <w:sz w:val="22"/>
              </w:rPr>
              <w:t>Pour générer des embeddings de haute qualité qui capturent le sens des textes juridiques, permettant une recherche et une comparaison efficaces.</w:t>
            </w:r>
          </w:p>
        </w:tc>
      </w:tr>
      <w:tr>
        <w:tc>
          <w:tcPr>
            <w:tcW w:type="dxa" w:w="3120"/>
          </w:tcPr>
          <w:p>
            <w:r>
              <w:rPr>
                <w:rFonts w:ascii="Calibri" w:hAnsi="Calibri"/>
                <w:sz w:val="22"/>
              </w:rPr>
              <w:t>Stratégie d'indexation et de Chunking</w:t>
            </w:r>
          </w:p>
        </w:tc>
        <w:tc>
          <w:tcPr>
            <w:tcW w:type="dxa" w:w="3120"/>
          </w:tcPr>
          <w:p>
            <w:r>
              <w:rPr>
                <w:rFonts w:ascii="Calibri" w:hAnsi="Calibri"/>
                <w:sz w:val="22"/>
              </w:rPr>
              <w:t>Faiss avec quantification</w:t>
            </w:r>
          </w:p>
        </w:tc>
        <w:tc>
          <w:tcPr>
            <w:tcW w:type="dxa" w:w="3120"/>
          </w:tcPr>
          <w:p>
            <w:r>
              <w:rPr>
                <w:rFonts w:ascii="Calibri" w:hAnsi="Calibri"/>
                <w:sz w:val="22"/>
              </w:rPr>
              <w:t>Pour optimiser la recherche et la récupération d'informations, en utilisant la quantification pour réduire la taille des indexes tout en maintenant la précision.</w:t>
            </w:r>
          </w:p>
        </w:tc>
      </w:tr>
      <w:tr>
        <w:tc>
          <w:tcPr>
            <w:tcW w:type="dxa" w:w="3120"/>
          </w:tcPr>
          <w:p>
            <w:r>
              <w:rPr>
                <w:rFonts w:ascii="Calibri" w:hAnsi="Calibri"/>
                <w:sz w:val="22"/>
              </w:rPr>
              <w:t>Génération de réponses</w:t>
            </w:r>
          </w:p>
        </w:tc>
        <w:tc>
          <w:tcPr>
            <w:tcW w:type="dxa" w:w="3120"/>
          </w:tcPr>
          <w:p>
            <w:r>
              <w:rPr>
                <w:rFonts w:ascii="Calibri" w:hAnsi="Calibri"/>
                <w:sz w:val="22"/>
              </w:rPr>
              <w:t>T5 (Text-to-Text Transfer Transformer)</w:t>
            </w:r>
          </w:p>
        </w:tc>
        <w:tc>
          <w:tcPr>
            <w:tcW w:type="dxa" w:w="3120"/>
          </w:tcPr>
          <w:p>
            <w:r>
              <w:rPr>
                <w:rFonts w:ascii="Calibri" w:hAnsi="Calibri"/>
                <w:sz w:val="22"/>
              </w:rPr>
              <w:t>Pour générer des réponses cohérentes et contextuelles aux questions des utilisateurs, en s'appuyant sur les connaissances acquises à partir des données juridiques.</w:t>
            </w:r>
          </w:p>
        </w:tc>
      </w:tr>
      <w:tr>
        <w:tc>
          <w:tcPr>
            <w:tcW w:type="dxa" w:w="3120"/>
          </w:tcPr>
          <w:p>
            <w:r>
              <w:rPr>
                <w:rFonts w:ascii="Calibri" w:hAnsi="Calibri"/>
                <w:sz w:val="22"/>
              </w:rPr>
              <w:t>Traitement du Langage Naturel (NLP)</w:t>
            </w:r>
          </w:p>
        </w:tc>
        <w:tc>
          <w:tcPr>
            <w:tcW w:type="dxa" w:w="3120"/>
          </w:tcPr>
          <w:p>
            <w:r>
              <w:rPr>
                <w:rFonts w:ascii="Calibri" w:hAnsi="Calibri"/>
                <w:sz w:val="22"/>
              </w:rPr>
              <w:t>spaCy</w:t>
            </w:r>
          </w:p>
        </w:tc>
        <w:tc>
          <w:tcPr>
            <w:tcW w:type="dxa" w:w="3120"/>
          </w:tcPr>
          <w:p>
            <w:r>
              <w:rPr>
                <w:rFonts w:ascii="Calibri" w:hAnsi="Calibri"/>
                <w:sz w:val="22"/>
              </w:rPr>
              <w:t>Pour l'analyse et le traitement des textes juridiques, permettant d'extraire des informations pertinentes et de prétraiter les données pour les modèles d'embedding et de génération.</w:t>
            </w:r>
          </w:p>
        </w:tc>
      </w:tr>
      <w:tr>
        <w:tc>
          <w:tcPr>
            <w:tcW w:type="dxa" w:w="3120"/>
          </w:tcPr>
          <w:p>
            <w:r>
              <w:rPr>
                <w:rFonts w:ascii="Calibri" w:hAnsi="Calibri"/>
                <w:sz w:val="22"/>
              </w:rPr>
              <w:t>Stockage des données</w:t>
            </w:r>
          </w:p>
        </w:tc>
        <w:tc>
          <w:tcPr>
            <w:tcW w:type="dxa" w:w="3120"/>
          </w:tcPr>
          <w:p>
            <w:r>
              <w:rPr>
                <w:rFonts w:ascii="Calibri" w:hAnsi="Calibri"/>
                <w:sz w:val="22"/>
              </w:rPr>
              <w:t>Amazon S3</w:t>
            </w:r>
          </w:p>
        </w:tc>
        <w:tc>
          <w:tcPr>
            <w:tcW w:type="dxa" w:w="3120"/>
          </w:tcPr>
          <w:p>
            <w:r>
              <w:rPr>
                <w:rFonts w:ascii="Calibri" w:hAnsi="Calibri"/>
                <w:sz w:val="22"/>
              </w:rPr>
              <w:t>Pour stocker les données sources (PDF, sites Web) de manière sécurisée et accessible, tout en respectant les exigences de confidentialité et de sécurité du RGPD.</w:t>
            </w:r>
          </w:p>
        </w:tc>
      </w:tr>
      <w:tr>
        <w:tc>
          <w:tcPr>
            <w:tcW w:type="dxa" w:w="3120"/>
          </w:tcPr>
          <w:p>
            <w:r>
              <w:rPr>
                <w:rFonts w:ascii="Calibri" w:hAnsi="Calibri"/>
                <w:sz w:val="22"/>
              </w:rPr>
              <w:t>Framework de développement</w:t>
            </w:r>
          </w:p>
        </w:tc>
        <w:tc>
          <w:tcPr>
            <w:tcW w:type="dxa" w:w="3120"/>
          </w:tcPr>
          <w:p>
            <w:r>
              <w:rPr>
                <w:rFonts w:ascii="Calibri" w:hAnsi="Calibri"/>
                <w:sz w:val="22"/>
              </w:rPr>
              <w:t>Flask</w:t>
            </w:r>
          </w:p>
        </w:tc>
        <w:tc>
          <w:tcPr>
            <w:tcW w:type="dxa" w:w="3120"/>
          </w:tcPr>
          <w:p>
            <w:r>
              <w:rPr>
                <w:rFonts w:ascii="Calibri" w:hAnsi="Calibri"/>
                <w:sz w:val="22"/>
              </w:rPr>
              <w:t>Pour développer l'API de l'Assistant IA Juridique de manière agile et efficace, offrant une interface simple et intuitive pour les utilisateurs.</w:t>
            </w:r>
          </w:p>
        </w:tc>
      </w:tr>
      <w:tr>
        <w:tc>
          <w:tcPr>
            <w:tcW w:type="dxa" w:w="3120"/>
          </w:tcPr>
          <w:p>
            <w:r>
              <w:rPr>
                <w:rFonts w:ascii="Calibri" w:hAnsi="Calibri"/>
                <w:sz w:val="22"/>
              </w:rPr>
              <w:t>Sécurité et Authentification</w:t>
            </w:r>
          </w:p>
        </w:tc>
        <w:tc>
          <w:tcPr>
            <w:tcW w:type="dxa" w:w="3120"/>
          </w:tcPr>
          <w:p>
            <w:r>
              <w:rPr>
                <w:rFonts w:ascii="Calibri" w:hAnsi="Calibri"/>
                <w:sz w:val="22"/>
              </w:rPr>
              <w:t>OAuth 2.0 avec Okta</w:t>
            </w:r>
          </w:p>
        </w:tc>
        <w:tc>
          <w:tcPr>
            <w:tcW w:type="dxa" w:w="3120"/>
          </w:tcPr>
          <w:p>
            <w:r>
              <w:rPr>
                <w:rFonts w:ascii="Calibri" w:hAnsi="Calibri"/>
                <w:sz w:val="22"/>
              </w:rPr>
              <w:t>Pour assurer l'authentification et l'autorisation des utilisateurs de manière sécurisée, en respectant les normes de sécurité et les exigences du RGPD.</w:t>
            </w:r>
          </w:p>
        </w:tc>
      </w:tr>
    </w:tbl>
    <w:p/>
    <w:p/>
    <w:p>
      <w:pPr>
        <w:pStyle w:val="Heading2"/>
      </w:pPr>
      <w:r>
        <w:rPr>
          <w:rFonts w:ascii="Calibri Light" w:hAnsi="Calibri Light"/>
          <w:b/>
          <w:color w:val="2E75B6"/>
          <w:sz w:val="28"/>
        </w:rPr>
        <w:t>3. Pipeline de Données et RAG</w:t>
      </w:r>
    </w:p>
    <w:p/>
    <w:p>
      <w:pPr>
        <w:jc w:val="both"/>
      </w:pPr>
      <w:r>
        <w:rPr>
          <w:rFonts w:ascii="Calibri" w:hAnsi="Calibri"/>
          <w:sz w:val="22"/>
        </w:rPr>
        <w:t>Le pipeline de données et RAG (Retrieve, Augment, Generate) pour l'Assistant IA Juridique implique plusieurs étapes clés pour traiter les données et générer des réponses pertinentes aux utilisateurs. Le processus commence par la collecte de données à partir de sources variées telles que des PDF et des sites Web, suivie d'étapes de nettoyage, de traitement et d'indexation pour permettre une recherche efficace et la génération de réponses basées sur les informations juridiques disponibles.</w:t>
      </w:r>
    </w:p>
    <w:p/>
    <w:p>
      <w:pPr>
        <w:jc w:val="both"/>
      </w:pPr>
      <w:r>
        <w:rPr>
          <w:rFonts w:ascii="Calibri" w:hAnsi="Calibri"/>
          <w:sz w:val="22"/>
        </w:rPr>
        <w:t>Voici les étapes détaillées du pipeline :</w:t>
      </w:r>
    </w:p>
    <w:p>
      <w:pPr>
        <w:pStyle w:val="Heading2"/>
      </w:pPr>
      <w:r>
        <w:rPr>
          <w:rFonts w:ascii="Calibri Light" w:hAnsi="Calibri Light"/>
          <w:b/>
          <w:color w:val="1F4E79"/>
          <w:sz w:val="28"/>
        </w:rPr>
        <w:t>1. Collecte : Collecter les données à partir de PDF et de sites Web pertinents au domaine juridique, en veillant à respecter les réglementations telles que le RGPD pour les données sensibles.</w:t>
      </w:r>
    </w:p>
    <w:p>
      <w:pPr>
        <w:pStyle w:val="Heading2"/>
      </w:pPr>
      <w:r>
        <w:rPr>
          <w:rFonts w:ascii="Calibri Light" w:hAnsi="Calibri Light"/>
          <w:b/>
          <w:color w:val="1F4E79"/>
          <w:sz w:val="28"/>
        </w:rPr>
        <w:t>2. Nettoyage : Nettoyer les données collectées en supprimant les informations non pertinentes, en corrigeant les erreurs de formatage et en normalisant les données pour une utilisation efficace.</w:t>
      </w:r>
    </w:p>
    <w:p>
      <w:pPr>
        <w:pStyle w:val="Heading2"/>
      </w:pPr>
      <w:r>
        <w:rPr>
          <w:rFonts w:ascii="Calibri Light" w:hAnsi="Calibri Light"/>
          <w:b/>
          <w:color w:val="1F4E79"/>
          <w:sz w:val="28"/>
        </w:rPr>
        <w:t>3. Chunking : Diviser les données en segments plus petits et gérables, tels que des paragraphes ou des sections, pour faciliter leur traitement et leur analyse.</w:t>
      </w:r>
    </w:p>
    <w:p>
      <w:pPr>
        <w:pStyle w:val="Heading2"/>
      </w:pPr>
      <w:r>
        <w:rPr>
          <w:rFonts w:ascii="Calibri Light" w:hAnsi="Calibri Light"/>
          <w:b/>
          <w:color w:val="1F4E79"/>
          <w:sz w:val="28"/>
        </w:rPr>
        <w:t>4. Embedding : Utiliser des techniques d'embedding pour convertir les données textuelles en représentations vectorielles qui peuvent être traitées par les algorithmes d'apprentissage automatique.</w:t>
      </w:r>
    </w:p>
    <w:p>
      <w:pPr>
        <w:pStyle w:val="Heading2"/>
      </w:pPr>
      <w:r>
        <w:rPr>
          <w:rFonts w:ascii="Calibri Light" w:hAnsi="Calibri Light"/>
          <w:b/>
          <w:color w:val="1F4E79"/>
          <w:sz w:val="28"/>
        </w:rPr>
        <w:t>5. Indexation Vectorielle : Créer un index vectoriel des données pour permettre une recherche rapide et efficace des informations pertinentes en fonction des requêtes des utilisateurs.</w:t>
      </w:r>
    </w:p>
    <w:p>
      <w:pPr>
        <w:pStyle w:val="Heading2"/>
      </w:pPr>
      <w:r>
        <w:rPr>
          <w:rFonts w:ascii="Calibri Light" w:hAnsi="Calibri Light"/>
          <w:b/>
          <w:color w:val="1F4E79"/>
          <w:sz w:val="28"/>
        </w:rPr>
        <w:t>6. Processus de Requête : Mettre en place un processus pour traiter les requêtes des utilisateurs, en analysant leur contenu et en identifiant les informations les plus pertinentes à partir de l'index vectoriel.</w:t>
      </w:r>
    </w:p>
    <w:p>
      <w:pPr>
        <w:pStyle w:val="Heading2"/>
      </w:pPr>
      <w:r>
        <w:rPr>
          <w:rFonts w:ascii="Calibri Light" w:hAnsi="Calibri Light"/>
          <w:b/>
          <w:color w:val="1F4E79"/>
          <w:sz w:val="28"/>
        </w:rPr>
        <w:t>7. Génération de réponse LLM : Utiliser un modèle de langage basé sur l'apprentissage automatique (LLM) pour générer des réponses aux requêtes des utilisateurs, en s'appuyant sur les informations indexées et en tenant compte du contexte juridique et des objectifs de l'Assistant IA Juridique.</w:t>
      </w:r>
    </w:p>
    <w:p/>
    <w:p>
      <w:pPr>
        <w:pStyle w:val="Heading2"/>
      </w:pPr>
      <w:r>
        <w:rPr>
          <w:rFonts w:ascii="Calibri Light" w:hAnsi="Calibri Light"/>
          <w:b/>
          <w:color w:val="2E75B6"/>
          <w:sz w:val="28"/>
        </w:rPr>
        <w:t>4. Sécurité et Infrastructure</w:t>
      </w:r>
    </w:p>
    <w:p/>
    <w:p>
      <w:pPr>
        <w:pStyle w:val="Heading3"/>
      </w:pPr>
      <w:r>
        <w:rPr>
          <w:rFonts w:ascii="Calibri Light" w:hAnsi="Calibri Light"/>
          <w:b/>
          <w:color w:val="448ACA"/>
          <w:sz w:val="24"/>
        </w:rPr>
        <w:t>Sécurité des Données</w:t>
      </w:r>
    </w:p>
    <w:p/>
    <w:p>
      <w:pPr>
        <w:pStyle w:val="ListBullet"/>
      </w:pPr>
      <w:r>
        <w:rPr>
          <w:rFonts w:ascii="Calibri" w:hAnsi="Calibri"/>
          <w:b/>
          <w:sz w:val="22"/>
        </w:rPr>
        <w:t>Chiffrement des données</w:t>
      </w:r>
      <w:r>
        <w:rPr>
          <w:rFonts w:ascii="Calibri" w:hAnsi="Calibri"/>
          <w:sz w:val="22"/>
        </w:rPr>
        <w:t xml:space="preserve"> : Les données sensibles seront chiffrées à l'aide de l'algorithme AES-256 pour assurer leur confidentialité et leur intégrité.</w:t>
      </w:r>
    </w:p>
    <w:p>
      <w:pPr>
        <w:pStyle w:val="ListBullet"/>
      </w:pPr>
      <w:r>
        <w:rPr>
          <w:rFonts w:ascii="Calibri" w:hAnsi="Calibri"/>
          <w:b/>
          <w:sz w:val="22"/>
        </w:rPr>
        <w:t>Authentification</w:t>
      </w:r>
      <w:r>
        <w:rPr>
          <w:rFonts w:ascii="Calibri" w:hAnsi="Calibri"/>
          <w:sz w:val="22"/>
        </w:rPr>
        <w:t xml:space="preserve"> : L'authentification des utilisateurs se fera via OAuth2 pour garantir une authentification sécurisée et fiable.</w:t>
      </w:r>
    </w:p>
    <w:p>
      <w:pPr>
        <w:pStyle w:val="ListBullet"/>
      </w:pPr>
      <w:r>
        <w:rPr>
          <w:rFonts w:ascii="Calibri" w:hAnsi="Calibri"/>
          <w:b/>
          <w:sz w:val="22"/>
        </w:rPr>
        <w:t>Gestion des Accès</w:t>
      </w:r>
      <w:r>
        <w:rPr>
          <w:rFonts w:ascii="Calibri" w:hAnsi="Calibri"/>
          <w:sz w:val="22"/>
        </w:rPr>
        <w:t xml:space="preserve"> : La gestion des accès sera basée sur le modèle RBAC (Role-Based Access Control) pour limiter l'accès aux données et aux fonctionnalités en fonction des rôles des utilisateurs.</w:t>
      </w:r>
    </w:p>
    <w:p>
      <w:pPr>
        <w:pStyle w:val="ListBullet"/>
      </w:pPr>
      <w:r>
        <w:rPr>
          <w:rFonts w:ascii="Calibri" w:hAnsi="Calibri"/>
          <w:b/>
          <w:sz w:val="22"/>
        </w:rPr>
        <w:t>Protocole de Communication</w:t>
      </w:r>
      <w:r>
        <w:rPr>
          <w:rFonts w:ascii="Calibri" w:hAnsi="Calibri"/>
          <w:sz w:val="22"/>
        </w:rPr>
        <w:t xml:space="preserve"> : Le protocole de communication utilisé sera le TLS 1.3 pour garantir la confidentialité et l'intégrité des données lors de leur transmission.</w:t>
      </w:r>
    </w:p>
    <w:p/>
    <w:p>
      <w:pPr>
        <w:pStyle w:val="Heading3"/>
      </w:pPr>
      <w:r>
        <w:rPr>
          <w:rFonts w:ascii="Calibri Light" w:hAnsi="Calibri Light"/>
          <w:b/>
          <w:color w:val="448ACA"/>
          <w:sz w:val="24"/>
        </w:rPr>
        <w:t>Sécurité de l'Infrastructure</w:t>
      </w:r>
    </w:p>
    <w:p/>
    <w:p>
      <w:pPr>
        <w:pStyle w:val="ListBullet"/>
      </w:pPr>
      <w:r>
        <w:rPr>
          <w:rFonts w:ascii="Calibri" w:hAnsi="Calibri"/>
          <w:b/>
          <w:sz w:val="22"/>
        </w:rPr>
        <w:t>Infrastructure</w:t>
      </w:r>
      <w:r>
        <w:rPr>
          <w:rFonts w:ascii="Calibri" w:hAnsi="Calibri"/>
          <w:sz w:val="22"/>
        </w:rPr>
        <w:t xml:space="preserve"> : L'infrastructure sera hébergée sur un cloud sécurisé (AWS) pour bénéficier de ses fonctionnalités de sécurité avancées.</w:t>
      </w:r>
    </w:p>
    <w:p>
      <w:pPr>
        <w:pStyle w:val="ListBullet"/>
      </w:pPr>
      <w:r>
        <w:rPr>
          <w:rFonts w:ascii="Calibri" w:hAnsi="Calibri"/>
          <w:b/>
          <w:sz w:val="22"/>
        </w:rPr>
        <w:t>Sauvegarde des Données</w:t>
      </w:r>
      <w:r>
        <w:rPr>
          <w:rFonts w:ascii="Calibri" w:hAnsi="Calibri"/>
          <w:sz w:val="22"/>
        </w:rPr>
        <w:t xml:space="preserve"> : Les données seront sauvegardées régulièrement (toutes les 24 heures) pour prévenir les pertes de données en cas d'incident.</w:t>
      </w:r>
    </w:p>
    <w:p>
      <w:pPr>
        <w:pStyle w:val="ListBullet"/>
      </w:pPr>
      <w:r>
        <w:rPr>
          <w:rFonts w:ascii="Calibri" w:hAnsi="Calibri"/>
          <w:b/>
          <w:sz w:val="22"/>
        </w:rPr>
        <w:t>Mises à Jour et Correctifs</w:t>
      </w:r>
      <w:r>
        <w:rPr>
          <w:rFonts w:ascii="Calibri" w:hAnsi="Calibri"/>
          <w:sz w:val="22"/>
        </w:rPr>
        <w:t xml:space="preserve"> : Les systèmes et les logiciels seront mis à jour régulièrement (toutes les 2 semaines) pour corriger les vulnérabilités de sécurité et améliorer la sécurité globale.</w:t>
      </w:r>
    </w:p>
    <w:p/>
    <w:p>
      <w:pPr>
        <w:pStyle w:val="Heading3"/>
      </w:pPr>
      <w:r>
        <w:rPr>
          <w:rFonts w:ascii="Calibri Light" w:hAnsi="Calibri Light"/>
          <w:b/>
          <w:color w:val="448ACA"/>
          <w:sz w:val="24"/>
        </w:rPr>
        <w:t>Conformité et Audit</w:t>
      </w:r>
    </w:p>
    <w:p/>
    <w:p>
      <w:pPr>
        <w:pStyle w:val="ListBullet"/>
      </w:pPr>
      <w:r>
        <w:rPr>
          <w:rFonts w:ascii="Calibri" w:hAnsi="Calibri"/>
          <w:b/>
          <w:sz w:val="22"/>
        </w:rPr>
        <w:t>Conformité RGPD</w:t>
      </w:r>
      <w:r>
        <w:rPr>
          <w:rFonts w:ascii="Calibri" w:hAnsi="Calibri"/>
          <w:sz w:val="22"/>
        </w:rPr>
        <w:t xml:space="preserve"> : Le système sera conçu pour être conforme au Règlement Général sur la Protection des Données (RGPD) pour protéger les données personnelles des utilisateurs.</w:t>
      </w:r>
    </w:p>
    <w:p>
      <w:pPr>
        <w:pStyle w:val="ListBullet"/>
      </w:pPr>
      <w:r>
        <w:rPr>
          <w:rFonts w:ascii="Calibri" w:hAnsi="Calibri"/>
          <w:b/>
          <w:sz w:val="22"/>
        </w:rPr>
        <w:t>Logs d'Audit</w:t>
      </w:r>
      <w:r>
        <w:rPr>
          <w:rFonts w:ascii="Calibri" w:hAnsi="Calibri"/>
          <w:sz w:val="22"/>
        </w:rPr>
        <w:t xml:space="preserve"> : Des logs d'audit détaillés seront conservés pour suivre toutes les activités sur le système, permettant ainsi une traçabilité et une analyse en cas d'incident.</w:t>
      </w:r>
    </w:p>
    <w:p>
      <w:pPr>
        <w:pStyle w:val="ListBullet"/>
      </w:pPr>
      <w:r>
        <w:rPr>
          <w:rFonts w:ascii="Calibri" w:hAnsi="Calibri"/>
          <w:b/>
          <w:sz w:val="22"/>
        </w:rPr>
        <w:t>Tests de Sécurité</w:t>
      </w:r>
      <w:r>
        <w:rPr>
          <w:rFonts w:ascii="Calibri" w:hAnsi="Calibri"/>
          <w:sz w:val="22"/>
        </w:rPr>
        <w:t xml:space="preserve"> : Des tests de sécurité réguliers (toutes les 6 semaines) seront effectués pour identifier et corriger les vulnérabilités de sécurité.</w:t>
      </w:r>
    </w:p>
    <w:p/>
    <w:p>
      <w:pPr>
        <w:pStyle w:val="Heading2"/>
      </w:pPr>
      <w:r>
        <w:rPr>
          <w:rFonts w:ascii="Calibri Light" w:hAnsi="Calibri Light"/>
          <w:b/>
          <w:color w:val="2E75B6"/>
          <w:sz w:val="28"/>
        </w:rPr>
        <w:t>5. Budget d'Infrastructure et Développement</w:t>
      </w:r>
    </w:p>
    <w:p/>
    <w:p>
      <w:pPr>
        <w:pStyle w:val="Heading3"/>
      </w:pPr>
      <w:r>
        <w:rPr>
          <w:rFonts w:ascii="Calibri Light" w:hAnsi="Calibri Light"/>
          <w:b/>
          <w:color w:val="448ACA"/>
          <w:sz w:val="24"/>
        </w:rPr>
        <w:t>Budget d'Infrastructure et Développement</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Pr>
                <w:rFonts w:ascii="Calibri" w:hAnsi="Calibri"/>
                <w:b/>
                <w:sz w:val="22"/>
              </w:rPr>
              <w:t>Type de Frais</w:t>
            </w:r>
          </w:p>
        </w:tc>
        <w:tc>
          <w:tcPr>
            <w:tcW w:type="dxa" w:w="3120"/>
          </w:tcPr>
          <w:p>
            <w:pPr>
              <w:jc w:val="center"/>
            </w:pPr>
            <w:r>
              <w:rPr>
                <w:rFonts w:ascii="Calibri" w:hAnsi="Calibri"/>
                <w:b/>
                <w:sz w:val="22"/>
              </w:rPr>
              <w:t>Outil / Ressource</w:t>
            </w:r>
          </w:p>
        </w:tc>
        <w:tc>
          <w:tcPr>
            <w:tcW w:type="dxa" w:w="3120"/>
          </w:tcPr>
          <w:p>
            <w:pPr>
              <w:jc w:val="center"/>
            </w:pPr>
            <w:r>
              <w:rPr>
                <w:rFonts w:ascii="Calibri" w:hAnsi="Calibri"/>
                <w:b/>
                <w:sz w:val="22"/>
              </w:rPr>
              <w:t>Coût Estimé</w:t>
            </w:r>
          </w:p>
        </w:tc>
      </w:tr>
      <w:tr>
        <w:tc>
          <w:tcPr>
            <w:tcW w:type="dxa" w:w="3120"/>
          </w:tcPr>
          <w:p>
            <w:r>
              <w:rPr>
                <w:rFonts w:ascii="Calibri" w:hAnsi="Calibri"/>
                <w:sz w:val="22"/>
              </w:rPr>
              <w:t>Coûts liés aux requêtes API / Embeddings</w:t>
            </w:r>
          </w:p>
        </w:tc>
        <w:tc>
          <w:tcPr>
            <w:tcW w:type="dxa" w:w="3120"/>
          </w:tcPr>
          <w:p>
            <w:r>
              <w:rPr>
                <w:rFonts w:ascii="Calibri" w:hAnsi="Calibri"/>
                <w:sz w:val="22"/>
              </w:rPr>
              <w:t>API de traitement de langage naturel (ex: spaCy, Stanford CoreNLP)</w:t>
            </w:r>
          </w:p>
        </w:tc>
        <w:tc>
          <w:tcPr>
            <w:tcW w:type="dxa" w:w="3120"/>
          </w:tcPr>
          <w:p>
            <w:r>
              <w:rPr>
                <w:rFonts w:ascii="Calibri" w:hAnsi="Calibri"/>
                <w:sz w:val="22"/>
              </w:rPr>
              <w:t>50 000 FCFA</w:t>
            </w:r>
          </w:p>
        </w:tc>
      </w:tr>
      <w:tr>
        <w:tc>
          <w:tcPr>
            <w:tcW w:type="dxa" w:w="3120"/>
          </w:tcPr>
          <w:p>
            <w:r>
              <w:rPr>
                <w:rFonts w:ascii="Calibri" w:hAnsi="Calibri"/>
                <w:sz w:val="22"/>
              </w:rPr>
              <w:t>Coûts liés aux requêtes API / Embeddings</w:t>
            </w:r>
          </w:p>
        </w:tc>
        <w:tc>
          <w:tcPr>
            <w:tcW w:type="dxa" w:w="3120"/>
          </w:tcPr>
          <w:p>
            <w:r>
              <w:rPr>
                <w:rFonts w:ascii="Calibri" w:hAnsi="Calibri"/>
                <w:sz w:val="22"/>
              </w:rPr>
              <w:t>Bibliothèques d'apprentissage automatique (ex: scikit-learn, TensorFlow)</w:t>
            </w:r>
          </w:p>
        </w:tc>
        <w:tc>
          <w:tcPr>
            <w:tcW w:type="dxa" w:w="3120"/>
          </w:tcPr>
          <w:p>
            <w:r>
              <w:rPr>
                <w:rFonts w:ascii="Calibri" w:hAnsi="Calibri"/>
                <w:sz w:val="22"/>
              </w:rPr>
              <w:t>30 000 FCFA</w:t>
            </w:r>
          </w:p>
        </w:tc>
      </w:tr>
      <w:tr>
        <w:tc>
          <w:tcPr>
            <w:tcW w:type="dxa" w:w="3120"/>
          </w:tcPr>
          <w:p>
            <w:r>
              <w:rPr>
                <w:rFonts w:ascii="Calibri" w:hAnsi="Calibri"/>
                <w:sz w:val="22"/>
              </w:rPr>
              <w:t>Coûts du serveur cloud</w:t>
            </w:r>
          </w:p>
        </w:tc>
        <w:tc>
          <w:tcPr>
            <w:tcW w:type="dxa" w:w="3120"/>
          </w:tcPr>
          <w:p>
            <w:r>
              <w:rPr>
                <w:rFonts w:ascii="Calibri" w:hAnsi="Calibri"/>
                <w:sz w:val="22"/>
              </w:rPr>
              <w:t>Serveur cloud pour hébergement de l'application (ex: AWS, Google Cloud)</w:t>
            </w:r>
          </w:p>
        </w:tc>
        <w:tc>
          <w:tcPr>
            <w:tcW w:type="dxa" w:w="3120"/>
          </w:tcPr>
          <w:p>
            <w:r>
              <w:rPr>
                <w:rFonts w:ascii="Calibri" w:hAnsi="Calibri"/>
                <w:sz w:val="22"/>
              </w:rPr>
              <w:t>150 000 FCFA</w:t>
            </w:r>
          </w:p>
        </w:tc>
      </w:tr>
      <w:tr>
        <w:tc>
          <w:tcPr>
            <w:tcW w:type="dxa" w:w="3120"/>
          </w:tcPr>
          <w:p>
            <w:r>
              <w:rPr>
                <w:rFonts w:ascii="Calibri" w:hAnsi="Calibri"/>
                <w:sz w:val="22"/>
              </w:rPr>
              <w:t>Coûts du serveur cloud</w:t>
            </w:r>
          </w:p>
        </w:tc>
        <w:tc>
          <w:tcPr>
            <w:tcW w:type="dxa" w:w="3120"/>
          </w:tcPr>
          <w:p>
            <w:r>
              <w:rPr>
                <w:rFonts w:ascii="Calibri" w:hAnsi="Calibri"/>
                <w:sz w:val="22"/>
              </w:rPr>
              <w:t>Stockage de données sécurisé (ex: S3, Google Cloud Storage)</w:t>
            </w:r>
          </w:p>
        </w:tc>
        <w:tc>
          <w:tcPr>
            <w:tcW w:type="dxa" w:w="3120"/>
          </w:tcPr>
          <w:p>
            <w:r>
              <w:rPr>
                <w:rFonts w:ascii="Calibri" w:hAnsi="Calibri"/>
                <w:sz w:val="22"/>
              </w:rPr>
              <w:t>100 000 FCFA</w:t>
            </w:r>
          </w:p>
        </w:tc>
      </w:tr>
      <w:tr>
        <w:tc>
          <w:tcPr>
            <w:tcW w:type="dxa" w:w="3120"/>
          </w:tcPr>
          <w:p>
            <w:r>
              <w:rPr>
                <w:rFonts w:ascii="Calibri" w:hAnsi="Calibri"/>
                <w:sz w:val="22"/>
              </w:rPr>
              <w:t>Estimation Jours/Homme de conception technique</w:t>
            </w:r>
          </w:p>
        </w:tc>
        <w:tc>
          <w:tcPr>
            <w:tcW w:type="dxa" w:w="3120"/>
          </w:tcPr>
          <w:p>
            <w:r>
              <w:rPr>
                <w:rFonts w:ascii="Calibri" w:hAnsi="Calibri"/>
                <w:sz w:val="22"/>
              </w:rPr>
              <w:t>Développement de l'interface utilisateur</w:t>
            </w:r>
          </w:p>
        </w:tc>
        <w:tc>
          <w:tcPr>
            <w:tcW w:type="dxa" w:w="3120"/>
          </w:tcPr>
          <w:p>
            <w:r>
              <w:rPr>
                <w:rFonts w:ascii="Calibri" w:hAnsi="Calibri"/>
                <w:sz w:val="22"/>
              </w:rPr>
              <w:t>60 jours</w:t>
            </w:r>
          </w:p>
        </w:tc>
      </w:tr>
      <w:tr>
        <w:tc>
          <w:tcPr>
            <w:tcW w:type="dxa" w:w="3120"/>
          </w:tcPr>
          <w:p>
            <w:r>
              <w:rPr>
                <w:rFonts w:ascii="Calibri" w:hAnsi="Calibri"/>
                <w:sz w:val="22"/>
              </w:rPr>
              <w:t>Estimation Jours/Homme de conception technique</w:t>
            </w:r>
          </w:p>
        </w:tc>
        <w:tc>
          <w:tcPr>
            <w:tcW w:type="dxa" w:w="3120"/>
          </w:tcPr>
          <w:p>
            <w:r>
              <w:rPr>
                <w:rFonts w:ascii="Calibri" w:hAnsi="Calibri"/>
                <w:sz w:val="22"/>
              </w:rPr>
              <w:t>Intégration des API et des bibliothèques d'apprentissage automatique</w:t>
            </w:r>
          </w:p>
        </w:tc>
        <w:tc>
          <w:tcPr>
            <w:tcW w:type="dxa" w:w="3120"/>
          </w:tcPr>
          <w:p>
            <w:r>
              <w:rPr>
                <w:rFonts w:ascii="Calibri" w:hAnsi="Calibri"/>
                <w:sz w:val="22"/>
              </w:rPr>
              <w:t>40 jours</w:t>
            </w:r>
          </w:p>
        </w:tc>
      </w:tr>
      <w:tr>
        <w:tc>
          <w:tcPr>
            <w:tcW w:type="dxa" w:w="3120"/>
          </w:tcPr>
          <w:p>
            <w:r>
              <w:rPr>
                <w:rFonts w:ascii="Calibri" w:hAnsi="Calibri"/>
                <w:sz w:val="22"/>
              </w:rPr>
              <w:t>Estimation Jours/Homme de conception technique</w:t>
            </w:r>
          </w:p>
        </w:tc>
        <w:tc>
          <w:tcPr>
            <w:tcW w:type="dxa" w:w="3120"/>
          </w:tcPr>
          <w:p>
            <w:r>
              <w:rPr>
                <w:rFonts w:ascii="Calibri" w:hAnsi="Calibri"/>
                <w:sz w:val="22"/>
              </w:rPr>
              <w:t>Conception et mise en œuvre de la logique métier</w:t>
            </w:r>
          </w:p>
        </w:tc>
        <w:tc>
          <w:tcPr>
            <w:tcW w:type="dxa" w:w="3120"/>
          </w:tcPr>
          <w:p>
            <w:r>
              <w:rPr>
                <w:rFonts w:ascii="Calibri" w:hAnsi="Calibri"/>
                <w:sz w:val="22"/>
              </w:rPr>
              <w:t>50 jours</w:t>
            </w:r>
          </w:p>
        </w:tc>
      </w:tr>
      <w:tr>
        <w:tc>
          <w:tcPr>
            <w:tcW w:type="dxa" w:w="3120"/>
          </w:tcPr>
          <w:p>
            <w:r>
              <w:rPr>
                <w:rFonts w:ascii="Calibri" w:hAnsi="Calibri"/>
                <w:sz w:val="22"/>
              </w:rPr>
              <w:t>Estimation Jours/Homme de conception technique</w:t>
            </w:r>
          </w:p>
        </w:tc>
        <w:tc>
          <w:tcPr>
            <w:tcW w:type="dxa" w:w="3120"/>
          </w:tcPr>
          <w:p>
            <w:r>
              <w:rPr>
                <w:rFonts w:ascii="Calibri" w:hAnsi="Calibri"/>
                <w:sz w:val="22"/>
              </w:rPr>
              <w:t>Tests et débogage de l'application</w:t>
            </w:r>
          </w:p>
        </w:tc>
        <w:tc>
          <w:tcPr>
            <w:tcW w:type="dxa" w:w="3120"/>
          </w:tcPr>
          <w:p>
            <w:r>
              <w:rPr>
                <w:rFonts w:ascii="Calibri" w:hAnsi="Calibri"/>
                <w:sz w:val="22"/>
              </w:rPr>
              <w:t>30 jours</w:t>
            </w:r>
          </w:p>
        </w:tc>
      </w:tr>
      <w:tr>
        <w:tc>
          <w:tcPr>
            <w:tcW w:type="dxa" w:w="3120"/>
          </w:tcPr>
          <w:p>
            <w:r>
              <w:rPr>
                <w:rFonts w:ascii="Calibri" w:hAnsi="Calibri"/>
                <w:sz w:val="22"/>
              </w:rPr>
              <w:t>Estimation Jours/Homme de conception technique</w:t>
            </w:r>
          </w:p>
        </w:tc>
        <w:tc>
          <w:tcPr>
            <w:tcW w:type="dxa" w:w="3120"/>
          </w:tcPr>
          <w:p>
            <w:r>
              <w:rPr>
                <w:rFonts w:ascii="Calibri" w:hAnsi="Calibri"/>
                <w:sz w:val="22"/>
              </w:rPr>
              <w:t>Sécurité et conformité RGPD</w:t>
            </w:r>
          </w:p>
        </w:tc>
        <w:tc>
          <w:tcPr>
            <w:tcW w:type="dxa" w:w="3120"/>
          </w:tcPr>
          <w:p>
            <w:r>
              <w:rPr>
                <w:rFonts w:ascii="Calibri" w:hAnsi="Calibri"/>
                <w:sz w:val="22"/>
              </w:rPr>
              <w:t>20 jours</w:t>
            </w:r>
          </w:p>
        </w:tc>
      </w:tr>
    </w:tbl>
    <w:p/>
    <w:p/>
    <w:p>
      <w:pPr>
        <w:pStyle w:val="Heading2"/>
      </w:pPr>
      <w:r>
        <w:rPr>
          <w:rFonts w:ascii="Calibri Light" w:hAnsi="Calibri Light"/>
          <w:b/>
          <w:color w:val="2E75B6"/>
          <w:sz w:val="28"/>
        </w:rPr>
        <w:t>6. Matrice des Risques Opérationnels</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Calibri" w:hAnsi="Calibri"/>
                <w:b/>
                <w:sz w:val="22"/>
              </w:rPr>
              <w:t>Risque Technologique</w:t>
            </w:r>
          </w:p>
        </w:tc>
        <w:tc>
          <w:tcPr>
            <w:tcW w:type="dxa" w:w="1872"/>
          </w:tcPr>
          <w:p>
            <w:pPr>
              <w:jc w:val="center"/>
            </w:pPr>
            <w:r>
              <w:rPr>
                <w:rFonts w:ascii="Calibri" w:hAnsi="Calibri"/>
                <w:b/>
                <w:sz w:val="22"/>
              </w:rPr>
              <w:t>Probabilité (1 à 5)</w:t>
            </w:r>
          </w:p>
        </w:tc>
        <w:tc>
          <w:tcPr>
            <w:tcW w:type="dxa" w:w="1872"/>
          </w:tcPr>
          <w:p>
            <w:pPr>
              <w:jc w:val="center"/>
            </w:pPr>
            <w:r>
              <w:rPr>
                <w:rFonts w:ascii="Calibri" w:hAnsi="Calibri"/>
                <w:b/>
                <w:sz w:val="22"/>
              </w:rPr>
              <w:t>Gravité (1 à 5)</w:t>
            </w:r>
          </w:p>
        </w:tc>
        <w:tc>
          <w:tcPr>
            <w:tcW w:type="dxa" w:w="1872"/>
          </w:tcPr>
          <w:p>
            <w:pPr>
              <w:jc w:val="center"/>
            </w:pPr>
            <w:r>
              <w:rPr>
                <w:rFonts w:ascii="Calibri" w:hAnsi="Calibri"/>
                <w:b/>
                <w:sz w:val="22"/>
              </w:rPr>
              <w:t>Priorité</w:t>
            </w:r>
          </w:p>
        </w:tc>
        <w:tc>
          <w:tcPr>
            <w:tcW w:type="dxa" w:w="1872"/>
          </w:tcPr>
          <w:p>
            <w:pPr>
              <w:jc w:val="center"/>
            </w:pPr>
            <w:r>
              <w:rPr>
                <w:rFonts w:ascii="Calibri" w:hAnsi="Calibri"/>
                <w:b/>
                <w:sz w:val="22"/>
              </w:rPr>
              <w:t>Plan de mitigation ciblé et concret</w:t>
            </w:r>
          </w:p>
        </w:tc>
      </w:tr>
      <w:tr>
        <w:tc>
          <w:tcPr>
            <w:tcW w:type="dxa" w:w="1872"/>
          </w:tcPr>
          <w:p>
            <w:r>
              <w:rPr>
                <w:rFonts w:ascii="Calibri" w:hAnsi="Calibri"/>
                <w:sz w:val="22"/>
              </w:rPr>
              <w:t>Défaillance du système de reconnaissance de texte dans les PDF</w:t>
            </w:r>
          </w:p>
        </w:tc>
        <w:tc>
          <w:tcPr>
            <w:tcW w:type="dxa" w:w="1872"/>
          </w:tcPr>
          <w:p>
            <w:r>
              <w:rPr>
                <w:rFonts w:ascii="Calibri" w:hAnsi="Calibri"/>
                <w:sz w:val="22"/>
              </w:rPr>
              <w:t>4</w:t>
            </w:r>
          </w:p>
        </w:tc>
        <w:tc>
          <w:tcPr>
            <w:tcW w:type="dxa" w:w="1872"/>
          </w:tcPr>
          <w:p>
            <w:r>
              <w:rPr>
                <w:rFonts w:ascii="Calibri" w:hAnsi="Calibri"/>
                <w:sz w:val="22"/>
              </w:rPr>
              <w:t>5</w:t>
            </w:r>
          </w:p>
        </w:tc>
        <w:tc>
          <w:tcPr>
            <w:tcW w:type="dxa" w:w="1872"/>
          </w:tcPr>
          <w:p>
            <w:r>
              <w:rPr>
                <w:rFonts w:ascii="Calibri" w:hAnsi="Calibri"/>
                <w:sz w:val="22"/>
              </w:rPr>
              <w:t>Élevée</w:t>
            </w:r>
          </w:p>
        </w:tc>
        <w:tc>
          <w:tcPr>
            <w:tcW w:type="dxa" w:w="1872"/>
          </w:tcPr>
          <w:p>
            <w:r>
              <w:rPr>
                <w:rFonts w:ascii="Calibri" w:hAnsi="Calibri"/>
                <w:sz w:val="22"/>
              </w:rPr>
              <w:t>Mettre en place un système de sauvegarde et de récupération des données, ainsi que des tests réguliers pour garantir la fiabilité du système de reconnaissance de texte.</w:t>
            </w:r>
          </w:p>
        </w:tc>
      </w:tr>
      <w:tr>
        <w:tc>
          <w:tcPr>
            <w:tcW w:type="dxa" w:w="1872"/>
          </w:tcPr>
          <w:p>
            <w:r>
              <w:rPr>
                <w:rFonts w:ascii="Calibri" w:hAnsi="Calibri"/>
                <w:sz w:val="22"/>
              </w:rPr>
              <w:t>Problèmes de sécurité liés à la collecte et au stockage de données sensibles</w:t>
            </w:r>
          </w:p>
        </w:tc>
        <w:tc>
          <w:tcPr>
            <w:tcW w:type="dxa" w:w="1872"/>
          </w:tcPr>
          <w:p>
            <w:r>
              <w:rPr>
                <w:rFonts w:ascii="Calibri" w:hAnsi="Calibri"/>
                <w:sz w:val="22"/>
              </w:rPr>
              <w:t>5</w:t>
            </w:r>
          </w:p>
        </w:tc>
        <w:tc>
          <w:tcPr>
            <w:tcW w:type="dxa" w:w="1872"/>
          </w:tcPr>
          <w:p>
            <w:r>
              <w:rPr>
                <w:rFonts w:ascii="Calibri" w:hAnsi="Calibri"/>
                <w:sz w:val="22"/>
              </w:rPr>
              <w:t>5</w:t>
            </w:r>
          </w:p>
        </w:tc>
        <w:tc>
          <w:tcPr>
            <w:tcW w:type="dxa" w:w="1872"/>
          </w:tcPr>
          <w:p>
            <w:r>
              <w:rPr>
                <w:rFonts w:ascii="Calibri" w:hAnsi="Calibri"/>
                <w:sz w:val="22"/>
              </w:rPr>
              <w:t>Élevée</w:t>
            </w:r>
          </w:p>
        </w:tc>
        <w:tc>
          <w:tcPr>
            <w:tcW w:type="dxa" w:w="1872"/>
          </w:tcPr>
          <w:p>
            <w:r>
              <w:rPr>
                <w:rFonts w:ascii="Calibri" w:hAnsi="Calibri"/>
                <w:sz w:val="22"/>
              </w:rPr>
              <w:t>Mettre en place des mesures de sécurité robustes pour protéger les données, telles que le chiffrement, les pare-feu et les contrôles d'accès, et s'assurer de la conformité avec le RGPD.</w:t>
            </w:r>
          </w:p>
        </w:tc>
      </w:tr>
      <w:tr>
        <w:tc>
          <w:tcPr>
            <w:tcW w:type="dxa" w:w="1872"/>
          </w:tcPr>
          <w:p>
            <w:r>
              <w:rPr>
                <w:rFonts w:ascii="Calibri" w:hAnsi="Calibri"/>
                <w:sz w:val="22"/>
              </w:rPr>
              <w:t>Difficultés à intégrer les données provenant de sites Web</w:t>
            </w:r>
          </w:p>
        </w:tc>
        <w:tc>
          <w:tcPr>
            <w:tcW w:type="dxa" w:w="1872"/>
          </w:tcPr>
          <w:p>
            <w:r>
              <w:rPr>
                <w:rFonts w:ascii="Calibri" w:hAnsi="Calibri"/>
                <w:sz w:val="22"/>
              </w:rPr>
              <w:t>3</w:t>
            </w:r>
          </w:p>
        </w:tc>
        <w:tc>
          <w:tcPr>
            <w:tcW w:type="dxa" w:w="1872"/>
          </w:tcPr>
          <w:p>
            <w:r>
              <w:rPr>
                <w:rFonts w:ascii="Calibri" w:hAnsi="Calibri"/>
                <w:sz w:val="22"/>
              </w:rPr>
              <w:t>4</w:t>
            </w:r>
          </w:p>
        </w:tc>
        <w:tc>
          <w:tcPr>
            <w:tcW w:type="dxa" w:w="1872"/>
          </w:tcPr>
          <w:p>
            <w:r>
              <w:rPr>
                <w:rFonts w:ascii="Calibri" w:hAnsi="Calibri"/>
                <w:sz w:val="22"/>
              </w:rPr>
              <w:t>Moyenne</w:t>
            </w:r>
          </w:p>
        </w:tc>
        <w:tc>
          <w:tcPr>
            <w:tcW w:type="dxa" w:w="1872"/>
          </w:tcPr>
          <w:p>
            <w:r>
              <w:rPr>
                <w:rFonts w:ascii="Calibri" w:hAnsi="Calibri"/>
                <w:sz w:val="22"/>
              </w:rPr>
              <w:t>Développer des interfaces de programmation d'applications (API) pour collecter les données de sites Web de manière sécurisée et fiable, et mettre en place des mécanismes de détection d'erreurs pour gérer les problèmes d'intégration.</w:t>
            </w:r>
          </w:p>
        </w:tc>
      </w:tr>
      <w:tr>
        <w:tc>
          <w:tcPr>
            <w:tcW w:type="dxa" w:w="1872"/>
          </w:tcPr>
          <w:p>
            <w:r>
              <w:rPr>
                <w:rFonts w:ascii="Calibri" w:hAnsi="Calibri"/>
                <w:sz w:val="22"/>
              </w:rPr>
              <w:t>Retard dans le développement du projet en raison de contraintes de temps et de budget</w:t>
            </w:r>
          </w:p>
        </w:tc>
        <w:tc>
          <w:tcPr>
            <w:tcW w:type="dxa" w:w="1872"/>
          </w:tcPr>
          <w:p>
            <w:r>
              <w:rPr>
                <w:rFonts w:ascii="Calibri" w:hAnsi="Calibri"/>
                <w:sz w:val="22"/>
              </w:rPr>
              <w:t>4</w:t>
            </w:r>
          </w:p>
        </w:tc>
        <w:tc>
          <w:tcPr>
            <w:tcW w:type="dxa" w:w="1872"/>
          </w:tcPr>
          <w:p>
            <w:r>
              <w:rPr>
                <w:rFonts w:ascii="Calibri" w:hAnsi="Calibri"/>
                <w:sz w:val="22"/>
              </w:rPr>
              <w:t>5</w:t>
            </w:r>
          </w:p>
        </w:tc>
        <w:tc>
          <w:tcPr>
            <w:tcW w:type="dxa" w:w="1872"/>
          </w:tcPr>
          <w:p>
            <w:r>
              <w:rPr>
                <w:rFonts w:ascii="Calibri" w:hAnsi="Calibri"/>
                <w:sz w:val="22"/>
              </w:rPr>
              <w:t>Élevée</w:t>
            </w:r>
          </w:p>
        </w:tc>
        <w:tc>
          <w:tcPr>
            <w:tcW w:type="dxa" w:w="1872"/>
          </w:tcPr>
          <w:p>
            <w:r>
              <w:rPr>
                <w:rFonts w:ascii="Calibri" w:hAnsi="Calibri"/>
                <w:sz w:val="22"/>
              </w:rPr>
              <w:t>Établir un plan de projet détaillé, avec des jalons et des délais réaliste, et mettre en place un système de suivi pour garantir que le projet est en cours de réalisation dans les délais et le budget impartis.</w:t>
            </w:r>
          </w:p>
        </w:tc>
      </w:tr>
      <w:tr>
        <w:tc>
          <w:tcPr>
            <w:tcW w:type="dxa" w:w="1872"/>
          </w:tcPr>
          <w:p>
            <w:r>
              <w:rPr>
                <w:rFonts w:ascii="Calibri" w:hAnsi="Calibri"/>
                <w:sz w:val="22"/>
              </w:rPr>
              <w:t>Problèmes de compatibilité avec les systèmes existants des professionnels du droit</w:t>
            </w:r>
          </w:p>
        </w:tc>
        <w:tc>
          <w:tcPr>
            <w:tcW w:type="dxa" w:w="1872"/>
          </w:tcPr>
          <w:p>
            <w:r>
              <w:rPr>
                <w:rFonts w:ascii="Calibri" w:hAnsi="Calibri"/>
                <w:sz w:val="22"/>
              </w:rPr>
              <w:t>3</w:t>
            </w:r>
          </w:p>
        </w:tc>
        <w:tc>
          <w:tcPr>
            <w:tcW w:type="dxa" w:w="1872"/>
          </w:tcPr>
          <w:p>
            <w:r>
              <w:rPr>
                <w:rFonts w:ascii="Calibri" w:hAnsi="Calibri"/>
                <w:sz w:val="22"/>
              </w:rPr>
              <w:t>4</w:t>
            </w:r>
          </w:p>
        </w:tc>
        <w:tc>
          <w:tcPr>
            <w:tcW w:type="dxa" w:w="1872"/>
          </w:tcPr>
          <w:p>
            <w:r>
              <w:rPr>
                <w:rFonts w:ascii="Calibri" w:hAnsi="Calibri"/>
                <w:sz w:val="22"/>
              </w:rPr>
              <w:t>Moyenne</w:t>
            </w:r>
          </w:p>
        </w:tc>
        <w:tc>
          <w:tcPr>
            <w:tcW w:type="dxa" w:w="1872"/>
          </w:tcPr>
          <w:p>
            <w:r>
              <w:rPr>
                <w:rFonts w:ascii="Calibri" w:hAnsi="Calibri"/>
                <w:sz w:val="22"/>
              </w:rPr>
              <w:t>Réaliser des tests de compatibilité avec les systèmes existants des professionnels du droit, et mettre en place des mécanismes d'adaptation pour garantir la compatibilité et la facilité d'utilisation.</w:t>
            </w:r>
          </w:p>
        </w:tc>
      </w:tr>
      <w:tr>
        <w:tc>
          <w:tcPr>
            <w:tcW w:type="dxa" w:w="1872"/>
          </w:tcPr>
          <w:p>
            <w:r>
              <w:rPr>
                <w:rFonts w:ascii="Calibri" w:hAnsi="Calibri"/>
                <w:sz w:val="22"/>
              </w:rPr>
              <w:t>Erreurs dans l'interprétation des données et des informations juridiques</w:t>
            </w:r>
          </w:p>
        </w:tc>
        <w:tc>
          <w:tcPr>
            <w:tcW w:type="dxa" w:w="1872"/>
          </w:tcPr>
          <w:p>
            <w:r>
              <w:rPr>
                <w:rFonts w:ascii="Calibri" w:hAnsi="Calibri"/>
                <w:sz w:val="22"/>
              </w:rPr>
              <w:t>4</w:t>
            </w:r>
          </w:p>
        </w:tc>
        <w:tc>
          <w:tcPr>
            <w:tcW w:type="dxa" w:w="1872"/>
          </w:tcPr>
          <w:p>
            <w:r>
              <w:rPr>
                <w:rFonts w:ascii="Calibri" w:hAnsi="Calibri"/>
                <w:sz w:val="22"/>
              </w:rPr>
              <w:t>5</w:t>
            </w:r>
          </w:p>
        </w:tc>
        <w:tc>
          <w:tcPr>
            <w:tcW w:type="dxa" w:w="1872"/>
          </w:tcPr>
          <w:p>
            <w:r>
              <w:rPr>
                <w:rFonts w:ascii="Calibri" w:hAnsi="Calibri"/>
                <w:sz w:val="22"/>
              </w:rPr>
              <w:t>Élevée</w:t>
            </w:r>
          </w:p>
        </w:tc>
        <w:tc>
          <w:tcPr>
            <w:tcW w:type="dxa" w:w="1872"/>
          </w:tcPr>
          <w:p>
            <w:r>
              <w:rPr>
                <w:rFonts w:ascii="Calibri" w:hAnsi="Calibri"/>
                <w:sz w:val="22"/>
              </w:rPr>
              <w:t>Mettre en place un système de vérification et de validation des données et des informations juridiques, et collaborer avec des experts juridiques pour garantir l'exactitude et la fiabilité des informations fournies.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