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E293B"/>
          <w:sz w:val="64"/>
        </w:rPr>
        <w:t>MAWABA TECHNOLOGIES</w:t>
      </w:r>
    </w:p>
    <w:p>
      <w:pPr>
        <w:jc w:val="center"/>
      </w:pPr>
      <w:r>
        <w:rPr>
          <w:rFonts w:ascii="Arial" w:hAnsi="Arial"/>
          <w:color w:val="64748B"/>
          <w:sz w:val="24"/>
        </w:rPr>
        <w:t>IA &amp; Machine Learning - Développement Logiciels - DevOps &amp; Automatisation - Cybersécurité</w:t>
      </w:r>
    </w:p>
    <w:p>
      <w:pPr>
        <w:jc w:val="center"/>
      </w:pPr>
      <w:r>
        <w:rPr>
          <w:color w:val="38BDF8"/>
          <w:sz w:val="28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Arial" w:hAnsi="Arial"/>
          <w:b/>
          <w:color w:val="1E293B"/>
          <w:sz w:val="48"/>
        </w:rPr>
        <w:t>Budget &amp; Planning Stratégique</w:t>
      </w:r>
    </w:p>
    <w:p>
      <w:pPr>
        <w:jc w:val="center"/>
      </w:pPr>
      <w:r>
        <w:rPr>
          <w:color w:val="64748B"/>
          <w:sz w:val="28"/>
        </w:rPr>
        <w:t>Estimation financière et planification</w:t>
      </w:r>
    </w:p>
    <w:p/>
    <w:p>
      <w:pPr>
        <w:jc w:val="center"/>
      </w:pPr>
      <w:r>
        <w:rPr>
          <w:rFonts w:ascii="Arial" w:hAnsi="Arial"/>
          <w:color w:val="38BDF8"/>
          <w:sz w:val="32"/>
        </w:rPr>
        <w:t>Projet : ARCEP AI</w:t>
      </w:r>
    </w:p>
    <w:p>
      <w:pPr>
        <w:jc w:val="center"/>
      </w:pPr>
      <w:r>
        <w:rPr>
          <w:color w:val="64748B"/>
          <w:sz w:val="22"/>
        </w:rPr>
        <w:t>11/04/2026</w:t>
      </w:r>
    </w:p>
    <w:p>
      <w:r>
        <w:br w:type="page"/>
      </w:r>
    </w:p>
    <w:p>
      <w:pPr>
        <w:pStyle w:val="Heading1"/>
      </w:pPr>
      <w:r>
        <w:t>Hypothèses Budgétaires</w:t>
      </w:r>
    </w:p>
    <w:p>
      <w:pPr>
        <w:pStyle w:val="ListBullet"/>
      </w:pPr>
      <w:r>
        <w:rPr>
          <w:sz w:val="20"/>
        </w:rPr>
        <w:t>Hypothèse 1 : Disponibilité des ressources humaines clés</w:t>
      </w:r>
    </w:p>
    <w:p>
      <w:pPr>
        <w:pStyle w:val="ListBullet"/>
      </w:pPr>
      <w:r>
        <w:rPr>
          <w:sz w:val="20"/>
        </w:rPr>
        <w:t>Hypothèse 2 : Stabilité des coûts des services cloud et API</w:t>
      </w:r>
    </w:p>
    <w:p>
      <w:pPr>
        <w:pStyle w:val="ListBullet"/>
      </w:pPr>
      <w:r>
        <w:rPr>
          <w:sz w:val="20"/>
        </w:rPr>
        <w:t>Hypothèse 3 : Pas de changement majeur dans les exigences du projet</w:t>
      </w:r>
    </w:p>
    <w:p>
      <w:pPr>
        <w:pStyle w:val="Heading1"/>
      </w:pPr>
      <w:r>
        <w:t>1. Investissement Capital Humain</w:t>
      </w:r>
    </w:p>
    <w:p>
      <w:r>
        <w:rPr>
          <w:i/>
          <w:color w:val="64748B"/>
          <w:sz w:val="20"/>
        </w:rPr>
        <w:t>Ventilation des coûts de ressources humaines par profil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Poste</w:t>
            </w:r>
          </w:p>
        </w:tc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Profil</w:t>
            </w:r>
          </w:p>
        </w:tc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Jours</w:t>
            </w:r>
          </w:p>
        </w:tc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TJM Min</w:t>
            </w:r>
          </w:p>
        </w:tc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TJM Max</w:t>
            </w:r>
          </w:p>
        </w:tc>
        <w:tc>
          <w:tcPr>
            <w:tcW w:type="dxa" w:w="156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Coût Max</w:t>
            </w:r>
          </w:p>
        </w:tc>
      </w:tr>
      <w:tr>
        <w:tc>
          <w:tcPr>
            <w:tcW w:type="dxa" w:w="1560"/>
          </w:tcPr>
          <w:p>
            <w:r>
              <w:t>Chef de Projet</w:t>
            </w:r>
          </w:p>
        </w:tc>
        <w:tc>
          <w:tcPr>
            <w:tcW w:type="dxa" w:w="1560"/>
          </w:tcPr>
          <w:p>
            <w:r>
              <w:t>Senior</w:t>
            </w:r>
          </w:p>
        </w:tc>
        <w:tc>
          <w:tcPr>
            <w:tcW w:type="dxa" w:w="1560"/>
          </w:tcPr>
          <w:p>
            <w:r>
              <w:t>60</w:t>
            </w:r>
          </w:p>
        </w:tc>
        <w:tc>
          <w:tcPr>
            <w:tcW w:type="dxa" w:w="1560"/>
          </w:tcPr>
          <w:p>
            <w:r>
              <w:t>800 €</w:t>
            </w:r>
          </w:p>
        </w:tc>
        <w:tc>
          <w:tcPr>
            <w:tcW w:type="dxa" w:w="1560"/>
          </w:tcPr>
          <w:p>
            <w:r>
              <w:t>1 200 €</w:t>
            </w:r>
          </w:p>
        </w:tc>
        <w:tc>
          <w:tcPr>
            <w:tcW w:type="dxa" w:w="1560"/>
          </w:tcPr>
          <w:p>
            <w:r>
              <w:t>72 000 €</w:t>
            </w:r>
          </w:p>
        </w:tc>
      </w:tr>
      <w:tr>
        <w:tc>
          <w:tcPr>
            <w:tcW w:type="dxa" w:w="1560"/>
            <w:shd w:fill="F1F5F9" w:val="clear"/>
          </w:tcPr>
          <w:p>
            <w:r>
              <w:t>Développeur IA</w:t>
            </w:r>
          </w:p>
        </w:tc>
        <w:tc>
          <w:tcPr>
            <w:tcW w:type="dxa" w:w="1560"/>
            <w:shd w:fill="F1F5F9" w:val="clear"/>
          </w:tcPr>
          <w:p>
            <w:r>
              <w:t>Confirmé</w:t>
            </w:r>
          </w:p>
        </w:tc>
        <w:tc>
          <w:tcPr>
            <w:tcW w:type="dxa" w:w="1560"/>
            <w:shd w:fill="F1F5F9" w:val="clear"/>
          </w:tcPr>
          <w:p>
            <w:r>
              <w:t>120</w:t>
            </w:r>
          </w:p>
        </w:tc>
        <w:tc>
          <w:tcPr>
            <w:tcW w:type="dxa" w:w="1560"/>
            <w:shd w:fill="F1F5F9" w:val="clear"/>
          </w:tcPr>
          <w:p>
            <w:r>
              <w:t>600 €</w:t>
            </w:r>
          </w:p>
        </w:tc>
        <w:tc>
          <w:tcPr>
            <w:tcW w:type="dxa" w:w="1560"/>
            <w:shd w:fill="F1F5F9" w:val="clear"/>
          </w:tcPr>
          <w:p>
            <w:r>
              <w:t>900 €</w:t>
            </w:r>
          </w:p>
        </w:tc>
        <w:tc>
          <w:tcPr>
            <w:tcW w:type="dxa" w:w="1560"/>
            <w:shd w:fill="F1F5F9" w:val="clear"/>
          </w:tcPr>
          <w:p>
            <w:r>
              <w:t>108 000 €</w:t>
            </w:r>
          </w:p>
        </w:tc>
      </w:tr>
      <w:tr>
        <w:tc>
          <w:tcPr>
            <w:tcW w:type="dxa" w:w="1560"/>
          </w:tcPr>
          <w:p>
            <w:r>
              <w:t>Développeur Frontend</w:t>
            </w:r>
          </w:p>
        </w:tc>
        <w:tc>
          <w:tcPr>
            <w:tcW w:type="dxa" w:w="1560"/>
          </w:tcPr>
          <w:p>
            <w:r>
              <w:t>Junior</w:t>
            </w:r>
          </w:p>
        </w:tc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400 €</w:t>
            </w:r>
          </w:p>
        </w:tc>
        <w:tc>
          <w:tcPr>
            <w:tcW w:type="dxa" w:w="1560"/>
          </w:tcPr>
          <w:p>
            <w:r>
              <w:t>600 €</w:t>
            </w:r>
          </w:p>
        </w:tc>
        <w:tc>
          <w:tcPr>
            <w:tcW w:type="dxa" w:w="1560"/>
          </w:tcPr>
          <w:p>
            <w:r>
              <w:t>48 000 €</w:t>
            </w:r>
          </w:p>
        </w:tc>
      </w:tr>
    </w:tbl>
    <w:p>
      <w:r>
        <w:rPr>
          <w:b/>
          <w:color w:val="1E293B"/>
          <w:sz w:val="22"/>
        </w:rPr>
        <w:t>💰 Total RH : 152 000 € — 228 000 €</w:t>
      </w:r>
    </w:p>
    <w:p>
      <w:pPr>
        <w:pStyle w:val="Heading1"/>
      </w:pPr>
      <w:r>
        <w:t>2. Investissement Technique &amp; Cloud (Annuel)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Coût Mensuel Max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Coût Annuel Max</w:t>
            </w:r>
          </w:p>
        </w:tc>
      </w:tr>
      <w:tr>
        <w:tc>
          <w:tcPr>
            <w:tcW w:type="dxa" w:w="2340"/>
          </w:tcPr>
          <w:p>
            <w:r>
              <w:t>Services Cloud (AWS/GCP)</w:t>
            </w:r>
          </w:p>
        </w:tc>
        <w:tc>
          <w:tcPr>
            <w:tcW w:type="dxa" w:w="2340"/>
          </w:tcPr>
          <w:p>
            <w:r>
              <w:t>Utilisation de services de calcul et de stockage</w:t>
            </w:r>
          </w:p>
        </w:tc>
        <w:tc>
          <w:tcPr>
            <w:tcW w:type="dxa" w:w="2340"/>
          </w:tcPr>
          <w:p>
            <w:r>
              <w:t>3 000 €</w:t>
            </w:r>
          </w:p>
        </w:tc>
        <w:tc>
          <w:tcPr>
            <w:tcW w:type="dxa" w:w="2340"/>
          </w:tcPr>
          <w:p>
            <w:r>
              <w:t>36 000 €</w:t>
            </w:r>
          </w:p>
        </w:tc>
      </w:tr>
      <w:tr>
        <w:tc>
          <w:tcPr>
            <w:tcW w:type="dxa" w:w="2340"/>
            <w:shd w:fill="F1F5F9" w:val="clear"/>
          </w:tcPr>
          <w:p>
            <w:r>
              <w:t>API Anthropic</w:t>
            </w:r>
          </w:p>
        </w:tc>
        <w:tc>
          <w:tcPr>
            <w:tcW w:type="dxa" w:w="2340"/>
            <w:shd w:fill="F1F5F9" w:val="clear"/>
          </w:tcPr>
          <w:p>
            <w:r>
              <w:t>Utilisation de l’API pour le modèle d’IA</w:t>
            </w:r>
          </w:p>
        </w:tc>
        <w:tc>
          <w:tcPr>
            <w:tcW w:type="dxa" w:w="2340"/>
            <w:shd w:fill="F1F5F9" w:val="clear"/>
          </w:tcPr>
          <w:p>
            <w:r>
              <w:t>2 000 €</w:t>
            </w:r>
          </w:p>
        </w:tc>
        <w:tc>
          <w:tcPr>
            <w:tcW w:type="dxa" w:w="2340"/>
            <w:shd w:fill="F1F5F9" w:val="clear"/>
          </w:tcPr>
          <w:p>
            <w:r>
              <w:t>24 000 €</w:t>
            </w:r>
          </w:p>
        </w:tc>
      </w:tr>
    </w:tbl>
    <w:p>
      <w:pPr>
        <w:pStyle w:val="Heading1"/>
      </w:pPr>
      <w:r>
        <w:t>3. Synthèse Budgétaire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8BDF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Poste</w:t>
            </w:r>
          </w:p>
        </w:tc>
        <w:tc>
          <w:tcPr>
            <w:tcW w:type="dxa" w:w="4680"/>
            <w:shd w:fill="38BDF8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4680"/>
          </w:tcPr>
          <w:p>
            <w:r>
              <w:t>Investissement initial (min)</w:t>
            </w:r>
          </w:p>
        </w:tc>
        <w:tc>
          <w:tcPr>
            <w:tcW w:type="dxa" w:w="4680"/>
          </w:tcPr>
          <w:p>
            <w:r>
              <w:t>182 000 €</w:t>
            </w:r>
          </w:p>
        </w:tc>
      </w:tr>
      <w:tr>
        <w:tc>
          <w:tcPr>
            <w:tcW w:type="dxa" w:w="4680"/>
            <w:shd w:fill="F1F5F9" w:val="clear"/>
          </w:tcPr>
          <w:p>
            <w:r>
              <w:t>Investissement initial (max)</w:t>
            </w:r>
          </w:p>
        </w:tc>
        <w:tc>
          <w:tcPr>
            <w:tcW w:type="dxa" w:w="4680"/>
            <w:shd w:fill="F1F5F9" w:val="clear"/>
          </w:tcPr>
          <w:p>
            <w:r>
              <w:t>278 000 €</w:t>
            </w:r>
          </w:p>
        </w:tc>
      </w:tr>
      <w:tr>
        <w:tc>
          <w:tcPr>
            <w:tcW w:type="dxa" w:w="4680"/>
          </w:tcPr>
          <w:p>
            <w:r>
              <w:t>Charge récurrente annuelle (min)</w:t>
            </w:r>
          </w:p>
        </w:tc>
        <w:tc>
          <w:tcPr>
            <w:tcW w:type="dxa" w:w="4680"/>
          </w:tcPr>
          <w:p>
            <w:r>
              <w:t>30 000 €</w:t>
            </w:r>
          </w:p>
        </w:tc>
      </w:tr>
      <w:tr>
        <w:tc>
          <w:tcPr>
            <w:tcW w:type="dxa" w:w="4680"/>
            <w:shd w:fill="F1F5F9" w:val="clear"/>
          </w:tcPr>
          <w:p>
            <w:r>
              <w:t>Charge récurrente annuelle (max)</w:t>
            </w:r>
          </w:p>
        </w:tc>
        <w:tc>
          <w:tcPr>
            <w:tcW w:type="dxa" w:w="4680"/>
            <w:shd w:fill="F1F5F9" w:val="clear"/>
          </w:tcPr>
          <w:p>
            <w:r>
              <w:t>60 000 €</w:t>
            </w:r>
          </w:p>
        </w:tc>
      </w:tr>
    </w:tbl>
    <w:p>
      <w:r>
        <w:rPr>
          <w:i/>
          <w:sz w:val="20"/>
        </w:rPr>
        <w:t>📝 Le budget total du projet est estimé entre 182 000 € et 278 000 € pour l’investissement initial, avec des charges récurrentes annuelles comprises entre 30 000 € et 60 000 €.</w:t>
      </w:r>
    </w:p>
    <w:p>
      <w:pPr>
        <w:pStyle w:val="Heading1"/>
      </w:pPr>
      <w:r>
        <w:t>4. Chronogramme et Jalons Clés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872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872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1872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1872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Risque</w:t>
            </w:r>
          </w:p>
        </w:tc>
      </w:tr>
      <w:tr>
        <w:tc>
          <w:tcPr>
            <w:tcW w:type="dxa" w:w="1872"/>
          </w:tcPr>
          <w:p>
            <w:r>
              <w:t>Phase 1 : Spécifications et conception</w:t>
            </w:r>
          </w:p>
        </w:tc>
        <w:tc>
          <w:tcPr>
            <w:tcW w:type="dxa" w:w="1872"/>
          </w:tcPr>
          <w:p>
            <w:r>
              <w:t>4 semaines</w:t>
            </w:r>
          </w:p>
        </w:tc>
        <w:tc>
          <w:tcPr>
            <w:tcW w:type="dxa" w:w="1872"/>
          </w:tcPr>
          <w:p>
            <w:r>
              <w:t>Définir les exigences et concevoir l’architecture du système</w:t>
            </w:r>
          </w:p>
        </w:tc>
        <w:tc>
          <w:tcPr>
            <w:tcW w:type="dxa" w:w="1872"/>
          </w:tcPr>
          <w:p>
            <w:r>
              <w:t>Cahier des charges et conception préliminaire</w:t>
            </w:r>
          </w:p>
        </w:tc>
        <w:tc>
          <w:tcPr>
            <w:tcW w:type="dxa" w:w="1872"/>
          </w:tcPr>
          <w:p>
            <w:r>
              <w:t>Risque de retard dans la définition des exigences</w:t>
            </w:r>
          </w:p>
        </w:tc>
      </w:tr>
      <w:tr>
        <w:tc>
          <w:tcPr>
            <w:tcW w:type="dxa" w:w="1872"/>
            <w:shd w:fill="F1F5F9" w:val="clear"/>
          </w:tcPr>
          <w:p>
            <w:r>
              <w:t>Phase 2 : Développement</w:t>
            </w:r>
          </w:p>
        </w:tc>
        <w:tc>
          <w:tcPr>
            <w:tcW w:type="dxa" w:w="1872"/>
            <w:shd w:fill="F1F5F9" w:val="clear"/>
          </w:tcPr>
          <w:p>
            <w:r>
              <w:t>12 semaines</w:t>
            </w:r>
          </w:p>
        </w:tc>
        <w:tc>
          <w:tcPr>
            <w:tcW w:type="dxa" w:w="1872"/>
            <w:shd w:fill="F1F5F9" w:val="clear"/>
          </w:tcPr>
          <w:p>
            <w:r>
              <w:t>Développer le modèle d’IA et l’interface utilisateur</w:t>
            </w:r>
          </w:p>
        </w:tc>
        <w:tc>
          <w:tcPr>
            <w:tcW w:type="dxa" w:w="1872"/>
            <w:shd w:fill="F1F5F9" w:val="clear"/>
          </w:tcPr>
          <w:p>
            <w:r>
              <w:t>Version bêta du système</w:t>
            </w:r>
          </w:p>
        </w:tc>
        <w:tc>
          <w:tcPr>
            <w:tcW w:type="dxa" w:w="1872"/>
            <w:shd w:fill="F1F5F9" w:val="clear"/>
          </w:tcPr>
          <w:p>
            <w:r>
              <w:t>Risque de complexité technique</w:t>
            </w:r>
          </w:p>
        </w:tc>
      </w:tr>
      <w:tr>
        <w:tc>
          <w:tcPr>
            <w:tcW w:type="dxa" w:w="1872"/>
          </w:tcPr>
          <w:p>
            <w:r>
              <w:t>Phase 3 : Tests et déploiement</w:t>
            </w:r>
          </w:p>
        </w:tc>
        <w:tc>
          <w:tcPr>
            <w:tcW w:type="dxa" w:w="1872"/>
          </w:tcPr>
          <w:p>
            <w:r>
              <w:t>4 semaines</w:t>
            </w:r>
          </w:p>
        </w:tc>
        <w:tc>
          <w:tcPr>
            <w:tcW w:type="dxa" w:w="1872"/>
          </w:tcPr>
          <w:p>
            <w:r>
              <w:t>Tester et déployer le système</w:t>
            </w:r>
          </w:p>
        </w:tc>
        <w:tc>
          <w:tcPr>
            <w:tcW w:type="dxa" w:w="1872"/>
          </w:tcPr>
          <w:p>
            <w:r>
              <w:t>Système déployé et prêt à l’utilisation</w:t>
            </w:r>
          </w:p>
        </w:tc>
        <w:tc>
          <w:tcPr>
            <w:tcW w:type="dxa" w:w="1872"/>
          </w:tcPr>
          <w:p>
            <w:r>
              <w:t>Risque de problèmes de compatibilité</w:t>
            </w:r>
          </w:p>
        </w:tc>
      </w:tr>
    </w:tbl>
    <w:p>
      <w:pPr>
        <w:pStyle w:val="Heading1"/>
      </w:pPr>
      <w:r>
        <w:t>5. Jalons Clés</w:t>
      </w:r>
    </w:p>
    <w:p>
      <w:pPr>
        <w:pStyle w:val="ListBullet"/>
      </w:pPr>
      <w:r>
        <w:rPr>
          <w:b/>
          <w:sz w:val="20"/>
        </w:rPr>
        <w:t>J-01 — Lancement du projet (Semaine 1)</w:t>
      </w:r>
    </w:p>
    <w:p>
      <w:pPr>
        <w:ind w:left="567"/>
      </w:pPr>
      <w:r>
        <w:rPr>
          <w:color w:val="64748B"/>
          <w:sz w:val="18"/>
        </w:rPr>
        <w:t>Critère : Equipe constituée et plan de projet validé</w:t>
      </w:r>
    </w:p>
    <w:p>
      <w:pPr>
        <w:pStyle w:val="ListBullet"/>
      </w:pPr>
      <w:r>
        <w:rPr>
          <w:b/>
          <w:sz w:val="20"/>
        </w:rPr>
        <w:t>J-02 — Fin de la phase de conception (Semaine 4)</w:t>
      </w:r>
    </w:p>
    <w:p>
      <w:pPr>
        <w:ind w:left="567"/>
      </w:pPr>
      <w:r>
        <w:rPr>
          <w:color w:val="64748B"/>
          <w:sz w:val="18"/>
        </w:rPr>
        <w:t>Critère : Cahier des charges et conception préliminaire validés</w:t>
      </w:r>
    </w:p>
    <w:p>
      <w:pPr>
        <w:pStyle w:val="ListBullet"/>
      </w:pPr>
      <w:r>
        <w:rPr>
          <w:b/>
          <w:sz w:val="20"/>
        </w:rPr>
        <w:t>J-03 — Déploiement du système (Semaine 20)</w:t>
      </w:r>
    </w:p>
    <w:p>
      <w:pPr>
        <w:ind w:left="567"/>
      </w:pPr>
      <w:r>
        <w:rPr>
          <w:color w:val="64748B"/>
          <w:sz w:val="18"/>
        </w:rPr>
        <w:t>Critère : Système déployé et prêt à l’utilisation</w:t>
      </w:r>
    </w:p>
    <w:p>
      <w:pPr>
        <w:pStyle w:val="Heading1"/>
      </w:pPr>
      <w:r>
        <w:t>6. Registre des Risques Budgétaires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fill="1E293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40"/>
          </w:tcPr>
          <w:p>
            <w:r>
              <w:t>Risque de retard dans la définition des exigences</w:t>
            </w:r>
          </w:p>
        </w:tc>
        <w:tc>
          <w:tcPr>
            <w:tcW w:type="dxa" w:w="2340"/>
          </w:tcPr>
          <w:p>
            <w:r>
              <w:t>Moyenne</w:t>
            </w:r>
          </w:p>
        </w:tc>
        <w:tc>
          <w:tcPr>
            <w:tcW w:type="dxa" w:w="2340"/>
          </w:tcPr>
          <w:p>
            <w:r>
              <w:t>Moyen</w:t>
            </w:r>
          </w:p>
        </w:tc>
        <w:tc>
          <w:tcPr>
            <w:tcW w:type="dxa" w:w="2340"/>
          </w:tcPr>
          <w:p>
            <w:r>
              <w:t>Suivi régulier des progrès et ajustement du planning</w:t>
            </w:r>
          </w:p>
        </w:tc>
      </w:tr>
      <w:tr>
        <w:tc>
          <w:tcPr>
            <w:tcW w:type="dxa" w:w="2340"/>
            <w:shd w:fill="F1F5F9" w:val="clear"/>
          </w:tcPr>
          <w:p>
            <w:r>
              <w:t>Risque de complexité technique</w:t>
            </w:r>
          </w:p>
        </w:tc>
        <w:tc>
          <w:tcPr>
            <w:tcW w:type="dxa" w:w="2340"/>
            <w:shd w:fill="F1F5F9" w:val="clear"/>
          </w:tcPr>
          <w:p>
            <w:r>
              <w:t>Élevée</w:t>
            </w:r>
          </w:p>
        </w:tc>
        <w:tc>
          <w:tcPr>
            <w:tcW w:type="dxa" w:w="2340"/>
            <w:shd w:fill="F1F5F9" w:val="clear"/>
          </w:tcPr>
          <w:p>
            <w:r>
              <w:t>Fort</w:t>
            </w:r>
          </w:p>
        </w:tc>
        <w:tc>
          <w:tcPr>
            <w:tcW w:type="dxa" w:w="2340"/>
            <w:shd w:fill="F1F5F9" w:val="clear"/>
          </w:tcPr>
          <w:p>
            <w:r>
              <w:t>Allocation de ressources supplémentaires et expertise externe si nécessaire</w:t>
            </w:r>
          </w:p>
        </w:tc>
      </w:tr>
      <w:tr>
        <w:tc>
          <w:tcPr>
            <w:tcW w:type="dxa" w:w="2340"/>
          </w:tcPr>
          <w:p>
            <w:r>
              <w:t>Risque de problèmes de compatibilité</w:t>
            </w:r>
          </w:p>
        </w:tc>
        <w:tc>
          <w:tcPr>
            <w:tcW w:type="dxa" w:w="2340"/>
          </w:tcPr>
          <w:p>
            <w:r>
              <w:t>Faible</w:t>
            </w:r>
          </w:p>
        </w:tc>
        <w:tc>
          <w:tcPr>
            <w:tcW w:type="dxa" w:w="2340"/>
          </w:tcPr>
          <w:p>
            <w:r>
              <w:t>Faible</w:t>
            </w:r>
          </w:p>
        </w:tc>
        <w:tc>
          <w:tcPr>
            <w:tcW w:type="dxa" w:w="2340"/>
          </w:tcPr>
          <w:p>
            <w:r>
              <w:t>Tests approfondis et validation par les utilisateurs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 xml:space="preserve">Mawaba Technologies — ARCEP AI — Confidentiel  |  Page </w:t>
    </w:r>
    <w:r>
      <w:rPr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