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center"/>
      </w:pPr>
      <w:r>
        <w:rPr>
          <w:b/>
          <w:bCs/>
          <w:sz w:val="26"/>
          <w:szCs w:val="26"/>
        </w:rPr>
        <w:t xml:space="preserve">RÉPUBLIQUE TOGOLAISE</w:t>
      </w:r>
    </w:p>
    <w:p>
      <w:pPr>
        <w:spacing w:after="550"/>
        <w:jc w:val="center"/>
      </w:pPr>
      <w:r>
        <w:rPr>
          <w:b/>
          <w:bCs/>
          <w:color w:val="D21034"/>
          <w:sz w:val="20"/>
          <w:szCs w:val="20"/>
        </w:rPr>
        <w:t xml:space="preserve">Travail – Liberté – Patrie</w:t>
      </w:r>
    </w:p>
    <w:p>
      <w:pPr>
        <w:spacing w:after="180"/>
        <w:jc w:val="center"/>
      </w:pPr>
      <w:r>
        <w:rPr>
          <w:b/>
          <w:bCs/>
          <w:color w:val="00563F"/>
          <w:sz w:val="54"/>
          <w:szCs w:val="54"/>
        </w:rPr>
        <w:t xml:space="preserve">SAD ÉDUCATION TOGO</w:t>
      </w:r>
    </w:p>
    <w:p>
      <w:pPr>
        <w:spacing w:after="420"/>
        <w:jc w:val="center"/>
      </w:pPr>
      <w:r>
        <w:rPr>
          <w:i/>
          <w:iCs/>
          <w:color w:val="006A4E"/>
          <w:sz w:val="26"/>
          <w:szCs w:val="26"/>
        </w:rPr>
        <w:t xml:space="preserve">Où investir prioritairement pour une éducation plus équitable au Togo ?</w:t>
      </w:r>
    </w:p>
    <w:p>
      <w:pPr>
        <w:shd w:fill="F2F7F4" w:val="clear"/>
        <w:spacing w:after="160"/>
        <w:jc w:val="center"/>
      </w:pPr>
      <w:r>
        <w:rPr>
          <w:b/>
          <w:bCs/>
          <w:sz w:val="40"/>
          <w:szCs w:val="40"/>
        </w:rPr>
        <w:t xml:space="preserve">RAPPORT FINAL</w:t>
      </w:r>
    </w:p>
    <w:p>
      <w:pPr>
        <w:spacing w:after="1300"/>
        <w:jc w:val="center"/>
      </w:pPr>
      <w:r>
        <w:rPr>
          <w:i/>
          <w:iCs/>
          <w:color w:val="555555"/>
          <w:sz w:val="22"/>
          <w:szCs w:val="22"/>
        </w:rPr>
        <w:t xml:space="preserve">Plateforme décisionnelle R Shiny fondée sur les données ouvertes</w:t>
      </w:r>
    </w:p>
    <w:p>
      <w:pPr>
        <w:spacing w:after="90"/>
        <w:jc w:val="center"/>
      </w:pPr>
      <w:r>
        <w:rPr>
          <w:color w:val="555555"/>
          <w:sz w:val="20"/>
          <w:szCs w:val="20"/>
        </w:rPr>
        <w:t xml:space="preserve">Data Challenge Éducation – Défi 1 · Togo AI Lab</w:t>
      </w:r>
    </w:p>
    <w:p>
      <w:pPr>
        <w:jc w:val="center"/>
      </w:pPr>
      <w:r>
        <w:rPr>
          <w:color w:val="555555"/>
          <w:sz w:val="20"/>
          <w:szCs w:val="20"/>
        </w:rPr>
        <w:t xml:space="preserve">Juillet 2026</w:t>
      </w:r>
    </w:p>
    <w:p>
      <w:r>
        <w:br w:type="page"/>
      </w:r>
    </w:p>
    <w:p>
      <w:pPr>
        <w:pStyle w:val="Heading1"/>
        <w:spacing w:after="200" w:before="360"/>
      </w:pPr>
      <w:r>
        <w:rPr>
          <w:color w:val="00563F"/>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color w:val="00563F"/>
        </w:rPr>
        <w:t xml:space="preserve">Résumé exécutif</w:t>
      </w:r>
    </w:p>
    <w:p>
      <w:pPr>
        <w:spacing w:after="160" w:before="0"/>
      </w:pPr>
      <w:r>
        <w:rPr>
          <w:sz w:val="22"/>
          <w:szCs w:val="22"/>
        </w:rPr>
        <w:t xml:space="preserve">Ce rapport présente la solution développée pour le Data Challenge Éducation (Défi 1) : un Système d'Aide à la Décision (SAD) qui identifie, à partir des seules données ouvertes du Togo, les territoires où les investissements éducatifs sont les plus prioritaires, explique pourquoi, et recommande les investissements à plus fort impact.</w:t>
      </w:r>
    </w:p>
    <w:p>
      <w:pPr>
        <w:pBdr>
          <w:left w:val="single" w:color="006A4E" w:sz="18"/>
        </w:pBdr>
        <w:spacing w:after="200" w:before="60"/>
        <w:ind w:left="200"/>
      </w:pPr>
      <w:r>
        <w:rPr>
          <w:b/>
          <w:bCs/>
          <w:color w:val="00563F"/>
          <w:sz w:val="22"/>
          <w:szCs w:val="22"/>
        </w:rPr>
        <w:t xml:space="preserve">Résultat central.  </w:t>
      </w:r>
      <w:r>
        <w:rPr>
          <w:sz w:val="22"/>
          <w:szCs w:val="22"/>
        </w:rPr>
        <w:t xml:space="preserve">Sur les 117 communes analysées, 24 ressortent très prioritaires et 23 prioritaires. Les trois communes les plus prioritaires sont Wawa 1 (ISPE 76,6), Wawa 2 (76,2) et Lacs 2 (75,5). À l'échelle préfectorale, Wawa, Danyi, Agou et Anié (région des Plateaux) concentrent les besoins les plus aigus.</w:t>
      </w:r>
    </w:p>
    <w:p>
      <w:pPr>
        <w:spacing w:after="160" w:before="0"/>
      </w:pPr>
      <w:r>
        <w:rPr>
          <w:sz w:val="22"/>
          <w:szCs w:val="22"/>
        </w:rPr>
        <w:t xml:space="preserve">La démarche croise quatre dimensions — couverture scolaire, infrastructures essentielles, capacité enseignante et résultats scolaires — à trois échelons territoriaux (5 régions, 39 préfectures, 117 communes), à partir de 15 454 établissements géolocalisés, 28 055 bâtiments, 10 228 points de toilettes et 7 802 enseignants du préscolaire. Une ACP suivie d'une classification HCPC consolidée par K-means dégage 4 profils de territoires ; un Indice Synthétique de Priorité Éducative (ISPE, 0-100) classe l'ensemble des territoires.</w:t>
      </w:r>
    </w:p>
    <w:p>
      <w:pPr>
        <w:spacing w:after="160" w:before="0"/>
      </w:pPr>
      <w:r>
        <w:rPr>
          <w:sz w:val="22"/>
          <w:szCs w:val="22"/>
        </w:rPr>
        <w:t xml:space="preserve">La plateforme livrée est une application R Shiny institutionnelle : cartes interactives, fiches territoire avec explications automatiques, recommandations argumentées (impact attendu, score de confiance), simulateur de politiques publiques en langage naturel, et exports professionnels (PDF, Excel, CSV, PNG). Tous les calculs statistiques sont réalisés en amont et servis en fichiers .rds : l'application est instantanée et fonctionne hors ligne.</w:t>
      </w:r>
    </w:p>
    <w:p>
      <w:pPr>
        <w:pStyle w:val="Heading1"/>
        <w:spacing w:after="200" w:before="360"/>
      </w:pPr>
      <w:r>
        <w:rPr>
          <w:color w:val="00563F"/>
        </w:rPr>
        <w:t xml:space="preserve">1. Contexte, objectifs et livrables</w:t>
      </w:r>
    </w:p>
    <w:p>
      <w:pPr>
        <w:spacing w:after="160" w:before="0"/>
      </w:pPr>
      <w:r>
        <w:rPr>
          <w:sz w:val="22"/>
          <w:szCs w:val="22"/>
        </w:rPr>
        <w:t xml:space="preserve">Le Défi 1 du Data Challenge Éducation, lancé par le Togo AI Lab, pose la question : les données peuvent-elles contribuer à une éducation plus équitable au Togo ? La mission : analyser la couverture scolaire, les infrastructures essentielles, la capacité enseignante et les résultats scolaires afin d'identifier les territoires où les investissements sont les plus prioritaires.</w:t>
      </w:r>
    </w:p>
    <w:p>
      <w:pPr>
        <w:spacing w:after="160" w:before="0"/>
      </w:pPr>
      <w:r>
        <w:rPr>
          <w:sz w:val="22"/>
          <w:szCs w:val="22"/>
        </w:rPr>
        <w:t xml:space="preserve">Le parti pris de la solution : ne pas livrer un tableau de bord descriptif de plus, mais un véritable outil d'aide à la décision, où la statistique travaille en coulisses et où le décideur ne lit que des réponses actionnables — où investir, pourquoi, dans quoi, avec quel impact.</w:t>
      </w:r>
    </w:p>
    <w:p>
      <w:pPr>
        <w:pStyle w:val="Heading2"/>
        <w:spacing w:after="160" w:before="280"/>
      </w:pPr>
      <w:r>
        <w:rPr>
          <w:color w:val="006A4E"/>
        </w:rPr>
        <w:t xml:space="preserve">Livrables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00"/>
        <w:gridCol w:w="7100"/>
      </w:tblGrid>
      <w:tr>
        <w:trPr>
          <w:tblHeader/>
        </w:trPr>
        <w:tc>
          <w:tcPr>
            <w:tcW w:type="dxa" w:w="2700"/>
            <w:shd w:fill="00563F" w:val="clear"/>
            <w:tcMar>
              <w:top w:type="dxa" w:w="60"/>
              <w:left w:type="dxa" w:w="100"/>
              <w:bottom w:type="dxa" w:w="60"/>
              <w:right w:type="dxa" w:w="100"/>
            </w:tcMar>
          </w:tcPr>
          <w:p>
            <w:pPr>
              <w:spacing w:after="0"/>
            </w:pPr>
            <w:r>
              <w:rPr>
                <w:b/>
                <w:bCs/>
                <w:color w:val="FFFFFF"/>
                <w:sz w:val="18"/>
                <w:szCs w:val="18"/>
              </w:rPr>
              <w:t xml:space="preserve">Livrable</w:t>
            </w:r>
          </w:p>
        </w:tc>
        <w:tc>
          <w:tcPr>
            <w:tcW w:type="dxa" w:w="7100"/>
            <w:shd w:fill="00563F" w:val="clear"/>
            <w:tcMar>
              <w:top w:type="dxa" w:w="60"/>
              <w:left w:type="dxa" w:w="100"/>
              <w:bottom w:type="dxa" w:w="60"/>
              <w:right w:type="dxa" w:w="100"/>
            </w:tcMar>
          </w:tcPr>
          <w:p>
            <w:pPr>
              <w:spacing w:after="0"/>
            </w:pPr>
            <w:r>
              <w:rPr>
                <w:b/>
                <w:bCs/>
                <w:color w:val="FFFFFF"/>
                <w:sz w:val="18"/>
                <w:szCs w:val="18"/>
              </w:rPr>
              <w:t xml:space="preserve">Description</w:t>
            </w:r>
          </w:p>
        </w:tc>
      </w:tr>
      <w:tr>
        <w:tc>
          <w:tcPr>
            <w:tcW w:type="dxa" w:w="2700"/>
            <w:tcMar>
              <w:top w:type="dxa" w:w="60"/>
              <w:left w:type="dxa" w:w="100"/>
              <w:bottom w:type="dxa" w:w="60"/>
              <w:right w:type="dxa" w:w="100"/>
            </w:tcMar>
          </w:tcPr>
          <w:p>
            <w:pPr>
              <w:spacing w:after="0"/>
            </w:pPr>
            <w:r>
              <w:rPr>
                <w:b w:val="false"/>
                <w:bCs w:val="false"/>
                <w:color w:val="1a1a1a"/>
                <w:sz w:val="18"/>
                <w:szCs w:val="18"/>
              </w:rPr>
              <w:t xml:space="preserve">Application R Shiny</w:t>
            </w:r>
          </w:p>
        </w:tc>
        <w:tc>
          <w:tcPr>
            <w:tcW w:type="dxa" w:w="7100"/>
            <w:tcMar>
              <w:top w:type="dxa" w:w="60"/>
              <w:left w:type="dxa" w:w="100"/>
              <w:bottom w:type="dxa" w:w="60"/>
              <w:right w:type="dxa" w:w="100"/>
            </w:tcMar>
          </w:tcPr>
          <w:p>
            <w:pPr>
              <w:spacing w:after="0"/>
            </w:pPr>
            <w:r>
              <w:rPr>
                <w:b w:val="false"/>
                <w:bCs w:val="false"/>
                <w:color w:val="1a1a1a"/>
                <w:sz w:val="18"/>
                <w:szCs w:val="18"/>
              </w:rPr>
              <w:t xml:space="preserve">6 onglets : Accueil, Couverture scolaire, Infrastructures, Capacité enseignante, Priorisation (avec simulateur), Auteur</w:t>
            </w:r>
          </w:p>
        </w:tc>
      </w:tr>
      <w:tr>
        <w:tc>
          <w:tcPr>
            <w:tcW w:type="dxa" w:w="2700"/>
            <w:tcMar>
              <w:top w:type="dxa" w:w="60"/>
              <w:left w:type="dxa" w:w="100"/>
              <w:bottom w:type="dxa" w:w="60"/>
              <w:right w:type="dxa" w:w="100"/>
            </w:tcMar>
          </w:tcPr>
          <w:p>
            <w:pPr>
              <w:spacing w:after="0"/>
            </w:pPr>
            <w:r>
              <w:rPr>
                <w:b w:val="false"/>
                <w:bCs w:val="false"/>
                <w:color w:val="1a1a1a"/>
                <w:sz w:val="18"/>
                <w:szCs w:val="18"/>
              </w:rPr>
              <w:t xml:space="preserve">Pipeline de prétraitement R</w:t>
            </w:r>
          </w:p>
        </w:tc>
        <w:tc>
          <w:tcPr>
            <w:tcW w:type="dxa" w:w="7100"/>
            <w:tcMar>
              <w:top w:type="dxa" w:w="60"/>
              <w:left w:type="dxa" w:w="100"/>
              <w:bottom w:type="dxa" w:w="60"/>
              <w:right w:type="dxa" w:w="100"/>
            </w:tcMar>
          </w:tcPr>
          <w:p>
            <w:pPr>
              <w:spacing w:after="0"/>
            </w:pPr>
            <w:r>
              <w:rPr>
                <w:b w:val="false"/>
                <w:bCs w:val="false"/>
                <w:color w:val="1a1a1a"/>
                <w:sz w:val="18"/>
                <w:szCs w:val="18"/>
              </w:rPr>
              <w:t xml:space="preserve">6 scripts reproductibles (preprocessing/), orchestrés par 00_run_all.R (~20 secondes)</w:t>
            </w:r>
          </w:p>
        </w:tc>
      </w:tr>
      <w:tr>
        <w:tc>
          <w:tcPr>
            <w:tcW w:type="dxa" w:w="2700"/>
            <w:tcMar>
              <w:top w:type="dxa" w:w="60"/>
              <w:left w:type="dxa" w:w="100"/>
              <w:bottom w:type="dxa" w:w="60"/>
              <w:right w:type="dxa" w:w="100"/>
            </w:tcMar>
          </w:tcPr>
          <w:p>
            <w:pPr>
              <w:spacing w:after="0"/>
            </w:pPr>
            <w:r>
              <w:rPr>
                <w:b w:val="false"/>
                <w:bCs w:val="false"/>
                <w:color w:val="1a1a1a"/>
                <w:sz w:val="18"/>
                <w:szCs w:val="18"/>
              </w:rPr>
              <w:t xml:space="preserve">11 fichiers .rds</w:t>
            </w:r>
          </w:p>
        </w:tc>
        <w:tc>
          <w:tcPr>
            <w:tcW w:type="dxa" w:w="7100"/>
            <w:tcMar>
              <w:top w:type="dxa" w:w="60"/>
              <w:left w:type="dxa" w:w="100"/>
              <w:bottom w:type="dxa" w:w="60"/>
              <w:right w:type="dxa" w:w="100"/>
            </w:tcMar>
          </w:tcPr>
          <w:p>
            <w:pPr>
              <w:spacing w:after="0"/>
            </w:pPr>
            <w:r>
              <w:rPr>
                <w:b w:val="false"/>
                <w:bCs w:val="false"/>
                <w:color w:val="1a1a1a"/>
                <w:sz w:val="18"/>
                <w:szCs w:val="18"/>
              </w:rPr>
              <w:t xml:space="preserve">Résultats prêts à l'emploi : indicateurs, ACP, classification, ISPE, recommandations, cartes, simulation…</w:t>
            </w:r>
          </w:p>
        </w:tc>
      </w:tr>
      <w:tr>
        <w:tc>
          <w:tcPr>
            <w:tcW w:type="dxa" w:w="2700"/>
            <w:tcMar>
              <w:top w:type="dxa" w:w="60"/>
              <w:left w:type="dxa" w:w="100"/>
              <w:bottom w:type="dxa" w:w="60"/>
              <w:right w:type="dxa" w:w="100"/>
            </w:tcMar>
          </w:tcPr>
          <w:p>
            <w:pPr>
              <w:spacing w:after="0"/>
            </w:pPr>
            <w:r>
              <w:rPr>
                <w:b w:val="false"/>
                <w:bCs w:val="false"/>
                <w:color w:val="1a1a1a"/>
                <w:sz w:val="18"/>
                <w:szCs w:val="18"/>
              </w:rPr>
              <w:t xml:space="preserve">Rapport méthodologique</w:t>
            </w:r>
          </w:p>
        </w:tc>
        <w:tc>
          <w:tcPr>
            <w:tcW w:type="dxa" w:w="7100"/>
            <w:tcMar>
              <w:top w:type="dxa" w:w="60"/>
              <w:left w:type="dxa" w:w="100"/>
              <w:bottom w:type="dxa" w:w="60"/>
              <w:right w:type="dxa" w:w="100"/>
            </w:tcMar>
          </w:tcPr>
          <w:p>
            <w:pPr>
              <w:spacing w:after="0"/>
            </w:pPr>
            <w:r>
              <w:rPr>
                <w:b w:val="false"/>
                <w:bCs w:val="false"/>
                <w:color w:val="1a1a1a"/>
                <w:sz w:val="18"/>
                <w:szCs w:val="18"/>
              </w:rPr>
              <w:t xml:space="preserve">Document Word détaillant données, formules des indicateurs et justification des choix</w:t>
            </w:r>
          </w:p>
        </w:tc>
      </w:tr>
      <w:tr>
        <w:tc>
          <w:tcPr>
            <w:tcW w:type="dxa" w:w="2700"/>
            <w:tcMar>
              <w:top w:type="dxa" w:w="60"/>
              <w:left w:type="dxa" w:w="100"/>
              <w:bottom w:type="dxa" w:w="60"/>
              <w:right w:type="dxa" w:w="100"/>
            </w:tcMar>
          </w:tcPr>
          <w:p>
            <w:pPr>
              <w:spacing w:after="0"/>
            </w:pPr>
            <w:r>
              <w:rPr>
                <w:b w:val="false"/>
                <w:bCs w:val="false"/>
                <w:color w:val="1a1a1a"/>
                <w:sz w:val="18"/>
                <w:szCs w:val="18"/>
              </w:rPr>
              <w:t xml:space="preserve">Base Excel ACP / classification</w:t>
            </w:r>
          </w:p>
        </w:tc>
        <w:tc>
          <w:tcPr>
            <w:tcW w:type="dxa" w:w="7100"/>
            <w:tcMar>
              <w:top w:type="dxa" w:w="60"/>
              <w:left w:type="dxa" w:w="100"/>
              <w:bottom w:type="dxa" w:w="60"/>
              <w:right w:type="dxa" w:w="100"/>
            </w:tcMar>
          </w:tcPr>
          <w:p>
            <w:pPr>
              <w:spacing w:after="0"/>
            </w:pPr>
            <w:r>
              <w:rPr>
                <w:b w:val="false"/>
                <w:bCs w:val="false"/>
                <w:color w:val="1a1a1a"/>
                <w:sz w:val="18"/>
                <w:szCs w:val="18"/>
              </w:rPr>
              <w:t xml:space="preserve">Valeurs brutes, matrice standardisée, coordonnées factorielles, classes et ISPE</w:t>
            </w:r>
          </w:p>
        </w:tc>
      </w:tr>
      <w:tr>
        <w:tc>
          <w:tcPr>
            <w:tcW w:type="dxa" w:w="2700"/>
            <w:tcMar>
              <w:top w:type="dxa" w:w="60"/>
              <w:left w:type="dxa" w:w="100"/>
              <w:bottom w:type="dxa" w:w="60"/>
              <w:right w:type="dxa" w:w="100"/>
            </w:tcMar>
          </w:tcPr>
          <w:p>
            <w:pPr>
              <w:spacing w:after="0"/>
            </w:pPr>
            <w:r>
              <w:rPr>
                <w:b w:val="false"/>
                <w:bCs w:val="false"/>
                <w:color w:val="1a1a1a"/>
                <w:sz w:val="18"/>
                <w:szCs w:val="18"/>
              </w:rPr>
              <w:t xml:space="preserve">Présentation PowerPoint</w:t>
            </w:r>
          </w:p>
        </w:tc>
        <w:tc>
          <w:tcPr>
            <w:tcW w:type="dxa" w:w="7100"/>
            <w:tcMar>
              <w:top w:type="dxa" w:w="60"/>
              <w:left w:type="dxa" w:w="100"/>
              <w:bottom w:type="dxa" w:w="60"/>
              <w:right w:type="dxa" w:w="100"/>
            </w:tcMar>
          </w:tcPr>
          <w:p>
            <w:pPr>
              <w:spacing w:after="0"/>
            </w:pPr>
            <w:r>
              <w:rPr>
                <w:b w:val="false"/>
                <w:bCs w:val="false"/>
                <w:color w:val="1a1a1a"/>
                <w:sz w:val="18"/>
                <w:szCs w:val="18"/>
              </w:rPr>
              <w:t xml:space="preserve">13 diapositives de présentation du projet</w:t>
            </w:r>
          </w:p>
        </w:tc>
      </w:tr>
    </w:tbl>
    <w:p>
      <w:pPr>
        <w:pStyle w:val="Heading1"/>
        <w:spacing w:after="200" w:before="360"/>
      </w:pPr>
      <w:r>
        <w:rPr>
          <w:color w:val="00563F"/>
        </w:rPr>
        <w:t xml:space="preserve">2. Données utilisées</w:t>
      </w:r>
    </w:p>
    <w:p>
      <w:pPr>
        <w:spacing w:after="160" w:before="0"/>
      </w:pPr>
      <w:r>
        <w:rPr>
          <w:sz w:val="22"/>
          <w:szCs w:val="22"/>
        </w:rPr>
        <w:t xml:space="preserve">Sept bases ouvertes ont été mobilisées, exclusivement issues des portails officiels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400"/>
      </w:tblGrid>
      <w:tr>
        <w:trPr>
          <w:tblHeader/>
        </w:trPr>
        <w:tc>
          <w:tcPr>
            <w:tcW w:type="dxa" w:w="3300"/>
            <w:shd w:fill="00563F" w:val="clear"/>
            <w:tcMar>
              <w:top w:type="dxa" w:w="60"/>
              <w:left w:type="dxa" w:w="100"/>
              <w:bottom w:type="dxa" w:w="60"/>
              <w:right w:type="dxa" w:w="100"/>
            </w:tcMar>
          </w:tcPr>
          <w:p>
            <w:pPr>
              <w:spacing w:after="0"/>
            </w:pPr>
            <w:r>
              <w:rPr>
                <w:b/>
                <w:bCs/>
                <w:color w:val="FFFFFF"/>
                <w:sz w:val="18"/>
                <w:szCs w:val="18"/>
              </w:rPr>
              <w:t xml:space="preserve">Base</w:t>
            </w:r>
          </w:p>
        </w:tc>
        <w:tc>
          <w:tcPr>
            <w:tcW w:type="dxa" w:w="2100"/>
            <w:shd w:fill="00563F" w:val="clear"/>
            <w:tcMar>
              <w:top w:type="dxa" w:w="60"/>
              <w:left w:type="dxa" w:w="100"/>
              <w:bottom w:type="dxa" w:w="60"/>
              <w:right w:type="dxa" w:w="100"/>
            </w:tcMar>
          </w:tcPr>
          <w:p>
            <w:pPr>
              <w:spacing w:after="0"/>
            </w:pPr>
            <w:r>
              <w:rPr>
                <w:b/>
                <w:bCs/>
                <w:color w:val="FFFFFF"/>
                <w:sz w:val="18"/>
                <w:szCs w:val="18"/>
              </w:rPr>
              <w:t xml:space="preserve">Source</w:t>
            </w:r>
          </w:p>
        </w:tc>
        <w:tc>
          <w:tcPr>
            <w:tcW w:type="dxa" w:w="4400"/>
            <w:shd w:fill="00563F" w:val="clear"/>
            <w:tcMar>
              <w:top w:type="dxa" w:w="60"/>
              <w:left w:type="dxa" w:w="100"/>
              <w:bottom w:type="dxa" w:w="60"/>
              <w:right w:type="dxa" w:w="100"/>
            </w:tcMar>
          </w:tcPr>
          <w:p>
            <w:pPr>
              <w:spacing w:after="0"/>
            </w:pPr>
            <w:r>
              <w:rPr>
                <w:b/>
                <w:bCs/>
                <w:color w:val="FFFFFF"/>
                <w:sz w:val="18"/>
                <w:szCs w:val="18"/>
              </w:rPr>
              <w:t xml:space="preserve">Volume retenu après nettoyage</w:t>
            </w:r>
          </w:p>
        </w:tc>
      </w:tr>
      <w:tr>
        <w:tc>
          <w:tcPr>
            <w:tcW w:type="dxa" w:w="3300"/>
            <w:tcMar>
              <w:top w:type="dxa" w:w="60"/>
              <w:left w:type="dxa" w:w="100"/>
              <w:bottom w:type="dxa" w:w="60"/>
              <w:right w:type="dxa" w:w="100"/>
            </w:tcMar>
          </w:tcPr>
          <w:p>
            <w:pPr>
              <w:spacing w:after="0"/>
            </w:pPr>
            <w:r>
              <w:rPr>
                <w:b w:val="false"/>
                <w:bCs w:val="false"/>
                <w:color w:val="1a1a1a"/>
                <w:sz w:val="18"/>
                <w:szCs w:val="18"/>
              </w:rPr>
              <w:t xml:space="preserve">Établissements scolaires géolocalisés</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geodata.gouv.tg</w:t>
            </w:r>
          </w:p>
        </w:tc>
        <w:tc>
          <w:tcPr>
            <w:tcW w:type="dxa" w:w="4400"/>
            <w:tcMar>
              <w:top w:type="dxa" w:w="60"/>
              <w:left w:type="dxa" w:w="100"/>
              <w:bottom w:type="dxa" w:w="60"/>
              <w:right w:type="dxa" w:w="100"/>
            </w:tcMar>
          </w:tcPr>
          <w:p>
            <w:pPr>
              <w:spacing w:after="0"/>
            </w:pPr>
            <w:r>
              <w:rPr>
                <w:b w:val="false"/>
                <w:bCs w:val="false"/>
                <w:color w:val="1a1a1a"/>
                <w:sz w:val="18"/>
                <w:szCs w:val="18"/>
              </w:rPr>
              <w:t xml:space="preserve">15 454 établissements (8 165 primaires, 4 277 jardins d'enfants, 2 304 collèges, 708 lycées)</w:t>
            </w:r>
          </w:p>
        </w:tc>
      </w:tr>
      <w:tr>
        <w:tc>
          <w:tcPr>
            <w:tcW w:type="dxa" w:w="3300"/>
            <w:tcMar>
              <w:top w:type="dxa" w:w="60"/>
              <w:left w:type="dxa" w:w="100"/>
              <w:bottom w:type="dxa" w:w="60"/>
              <w:right w:type="dxa" w:w="100"/>
            </w:tcMar>
          </w:tcPr>
          <w:p>
            <w:pPr>
              <w:spacing w:after="0"/>
            </w:pPr>
            <w:r>
              <w:rPr>
                <w:b w:val="false"/>
                <w:bCs w:val="false"/>
                <w:color w:val="1a1a1a"/>
                <w:sz w:val="18"/>
                <w:szCs w:val="18"/>
              </w:rPr>
              <w:t xml:space="preserve">Toilettes scolaires</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geodata.gouv.tg</w:t>
            </w:r>
          </w:p>
        </w:tc>
        <w:tc>
          <w:tcPr>
            <w:tcW w:type="dxa" w:w="4400"/>
            <w:tcMar>
              <w:top w:type="dxa" w:w="60"/>
              <w:left w:type="dxa" w:w="100"/>
              <w:bottom w:type="dxa" w:w="60"/>
              <w:right w:type="dxa" w:w="100"/>
            </w:tcMar>
          </w:tcPr>
          <w:p>
            <w:pPr>
              <w:spacing w:after="0"/>
            </w:pPr>
            <w:r>
              <w:rPr>
                <w:b w:val="false"/>
                <w:bCs w:val="false"/>
                <w:color w:val="1a1a1a"/>
                <w:sz w:val="18"/>
                <w:szCs w:val="18"/>
              </w:rPr>
              <w:t xml:space="preserve">10 228 points</w:t>
            </w:r>
          </w:p>
        </w:tc>
      </w:tr>
      <w:tr>
        <w:tc>
          <w:tcPr>
            <w:tcW w:type="dxa" w:w="3300"/>
            <w:tcMar>
              <w:top w:type="dxa" w:w="60"/>
              <w:left w:type="dxa" w:w="100"/>
              <w:bottom w:type="dxa" w:w="60"/>
              <w:right w:type="dxa" w:w="100"/>
            </w:tcMar>
          </w:tcPr>
          <w:p>
            <w:pPr>
              <w:spacing w:after="0"/>
            </w:pPr>
            <w:r>
              <w:rPr>
                <w:b w:val="false"/>
                <w:bCs w:val="false"/>
                <w:color w:val="1a1a1a"/>
                <w:sz w:val="18"/>
                <w:szCs w:val="18"/>
              </w:rPr>
              <w:t xml:space="preserve">Bâtiments scolaires</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geodata.gouv.tg</w:t>
            </w:r>
          </w:p>
        </w:tc>
        <w:tc>
          <w:tcPr>
            <w:tcW w:type="dxa" w:w="4400"/>
            <w:tcMar>
              <w:top w:type="dxa" w:w="60"/>
              <w:left w:type="dxa" w:w="100"/>
              <w:bottom w:type="dxa" w:w="60"/>
              <w:right w:type="dxa" w:w="100"/>
            </w:tcMar>
          </w:tcPr>
          <w:p>
            <w:pPr>
              <w:spacing w:after="0"/>
            </w:pPr>
            <w:r>
              <w:rPr>
                <w:b w:val="false"/>
                <w:bCs w:val="false"/>
                <w:color w:val="1a1a1a"/>
                <w:sz w:val="18"/>
                <w:szCs w:val="18"/>
              </w:rPr>
              <w:t xml:space="preserve">28 055 bâtiments</w:t>
            </w:r>
          </w:p>
        </w:tc>
      </w:tr>
      <w:tr>
        <w:tc>
          <w:tcPr>
            <w:tcW w:type="dxa" w:w="3300"/>
            <w:tcMar>
              <w:top w:type="dxa" w:w="60"/>
              <w:left w:type="dxa" w:w="100"/>
              <w:bottom w:type="dxa" w:w="60"/>
              <w:right w:type="dxa" w:w="100"/>
            </w:tcMar>
          </w:tcPr>
          <w:p>
            <w:pPr>
              <w:spacing w:after="0"/>
            </w:pPr>
            <w:r>
              <w:rPr>
                <w:b w:val="false"/>
                <w:bCs w:val="false"/>
                <w:color w:val="1a1a1a"/>
                <w:sz w:val="18"/>
                <w:szCs w:val="18"/>
              </w:rPr>
              <w:t xml:space="preserve">Terrains de sport</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geodata.gouv.tg</w:t>
            </w:r>
          </w:p>
        </w:tc>
        <w:tc>
          <w:tcPr>
            <w:tcW w:type="dxa" w:w="4400"/>
            <w:tcMar>
              <w:top w:type="dxa" w:w="60"/>
              <w:left w:type="dxa" w:w="100"/>
              <w:bottom w:type="dxa" w:w="60"/>
              <w:right w:type="dxa" w:w="100"/>
            </w:tcMar>
          </w:tcPr>
          <w:p>
            <w:pPr>
              <w:spacing w:after="0"/>
            </w:pPr>
            <w:r>
              <w:rPr>
                <w:b w:val="false"/>
                <w:bCs w:val="false"/>
                <w:color w:val="1a1a1a"/>
                <w:sz w:val="18"/>
                <w:szCs w:val="18"/>
              </w:rPr>
              <w:t xml:space="preserve">3 708 terrains</w:t>
            </w:r>
          </w:p>
        </w:tc>
      </w:tr>
      <w:tr>
        <w:tc>
          <w:tcPr>
            <w:tcW w:type="dxa" w:w="3300"/>
            <w:tcMar>
              <w:top w:type="dxa" w:w="60"/>
              <w:left w:type="dxa" w:w="100"/>
              <w:bottom w:type="dxa" w:w="60"/>
              <w:right w:type="dxa" w:w="100"/>
            </w:tcMar>
          </w:tcPr>
          <w:p>
            <w:pPr>
              <w:spacing w:after="0"/>
            </w:pPr>
            <w:r>
              <w:rPr>
                <w:b w:val="false"/>
                <w:bCs w:val="false"/>
                <w:color w:val="1a1a1a"/>
                <w:sz w:val="18"/>
                <w:szCs w:val="18"/>
              </w:rPr>
              <w:t xml:space="preserve">Crèches / bibliothèques</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geodata.gouv.tg</w:t>
            </w:r>
          </w:p>
        </w:tc>
        <w:tc>
          <w:tcPr>
            <w:tcW w:type="dxa" w:w="4400"/>
            <w:tcMar>
              <w:top w:type="dxa" w:w="60"/>
              <w:left w:type="dxa" w:w="100"/>
              <w:bottom w:type="dxa" w:w="60"/>
              <w:right w:type="dxa" w:w="100"/>
            </w:tcMar>
          </w:tcPr>
          <w:p>
            <w:pPr>
              <w:spacing w:after="0"/>
            </w:pPr>
            <w:r>
              <w:rPr>
                <w:b w:val="false"/>
                <w:bCs w:val="false"/>
                <w:color w:val="1a1a1a"/>
                <w:sz w:val="18"/>
                <w:szCs w:val="18"/>
              </w:rPr>
              <w:t xml:space="preserve">35 crèches ; 3 bibliothèques recensées</w:t>
            </w:r>
          </w:p>
        </w:tc>
      </w:tr>
      <w:tr>
        <w:tc>
          <w:tcPr>
            <w:tcW w:type="dxa" w:w="3300"/>
            <w:tcMar>
              <w:top w:type="dxa" w:w="60"/>
              <w:left w:type="dxa" w:w="100"/>
              <w:bottom w:type="dxa" w:w="60"/>
              <w:right w:type="dxa" w:w="100"/>
            </w:tcMar>
          </w:tcPr>
          <w:p>
            <w:pPr>
              <w:spacing w:after="0"/>
            </w:pPr>
            <w:r>
              <w:rPr>
                <w:b w:val="false"/>
                <w:bCs w:val="false"/>
                <w:color w:val="1a1a1a"/>
                <w:sz w:val="18"/>
                <w:szCs w:val="18"/>
              </w:rPr>
              <w:t xml:space="preserve">Enseignants du préscolaire par inspection</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opendata.gouv.tg</w:t>
            </w:r>
          </w:p>
        </w:tc>
        <w:tc>
          <w:tcPr>
            <w:tcW w:type="dxa" w:w="4400"/>
            <w:tcMar>
              <w:top w:type="dxa" w:w="60"/>
              <w:left w:type="dxa" w:w="100"/>
              <w:bottom w:type="dxa" w:w="60"/>
              <w:right w:type="dxa" w:w="100"/>
            </w:tcMar>
          </w:tcPr>
          <w:p>
            <w:pPr>
              <w:spacing w:after="0"/>
            </w:pPr>
            <w:r>
              <w:rPr>
                <w:b w:val="false"/>
                <w:bCs w:val="false"/>
                <w:color w:val="1a1a1a"/>
                <w:sz w:val="18"/>
                <w:szCs w:val="18"/>
              </w:rPr>
              <w:t xml:space="preserve">7 802 enseignants (annuaire 2021-2022, 62 inspections)</w:t>
            </w:r>
          </w:p>
        </w:tc>
      </w:tr>
      <w:tr>
        <w:tc>
          <w:tcPr>
            <w:tcW w:type="dxa" w:w="3300"/>
            <w:tcMar>
              <w:top w:type="dxa" w:w="60"/>
              <w:left w:type="dxa" w:w="100"/>
              <w:bottom w:type="dxa" w:w="60"/>
              <w:right w:type="dxa" w:w="100"/>
            </w:tcMar>
          </w:tcPr>
          <w:p>
            <w:pPr>
              <w:spacing w:after="0"/>
            </w:pPr>
            <w:r>
              <w:rPr>
                <w:b w:val="false"/>
                <w:bCs w:val="false"/>
                <w:color w:val="1a1a1a"/>
                <w:sz w:val="18"/>
                <w:szCs w:val="18"/>
              </w:rPr>
              <w:t xml:space="preserve">Résultats scolaires nationaux</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opendata.gouv.tg</w:t>
            </w:r>
          </w:p>
        </w:tc>
        <w:tc>
          <w:tcPr>
            <w:tcW w:type="dxa" w:w="4400"/>
            <w:tcMar>
              <w:top w:type="dxa" w:w="60"/>
              <w:left w:type="dxa" w:w="100"/>
              <w:bottom w:type="dxa" w:w="60"/>
              <w:right w:type="dxa" w:w="100"/>
            </w:tcMar>
          </w:tcPr>
          <w:p>
            <w:pPr>
              <w:spacing w:after="0"/>
            </w:pPr>
            <w:r>
              <w:rPr>
                <w:b w:val="false"/>
                <w:bCs w:val="false"/>
                <w:color w:val="1a1a1a"/>
                <w:sz w:val="18"/>
                <w:szCs w:val="18"/>
              </w:rPr>
              <w:t xml:space="preserve">8 indicateurs, séries 2013-2022</w:t>
            </w:r>
          </w:p>
        </w:tc>
      </w:tr>
      <w:tr>
        <w:tc>
          <w:tcPr>
            <w:tcW w:type="dxa" w:w="3300"/>
            <w:tcMar>
              <w:top w:type="dxa" w:w="60"/>
              <w:left w:type="dxa" w:w="100"/>
              <w:bottom w:type="dxa" w:w="60"/>
              <w:right w:type="dxa" w:w="100"/>
            </w:tcMar>
          </w:tcPr>
          <w:p>
            <w:pPr>
              <w:spacing w:after="0"/>
            </w:pPr>
            <w:r>
              <w:rPr>
                <w:b w:val="false"/>
                <w:bCs w:val="false"/>
                <w:color w:val="1a1a1a"/>
                <w:sz w:val="18"/>
                <w:szCs w:val="18"/>
              </w:rPr>
              <w:t xml:space="preserve">Indicateurs internationaux</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UNESCO-ISU</w:t>
            </w:r>
          </w:p>
        </w:tc>
        <w:tc>
          <w:tcPr>
            <w:tcW w:type="dxa" w:w="4400"/>
            <w:tcMar>
              <w:top w:type="dxa" w:w="60"/>
              <w:left w:type="dxa" w:w="100"/>
              <w:bottom w:type="dxa" w:w="60"/>
              <w:right w:type="dxa" w:w="100"/>
            </w:tcMar>
          </w:tcPr>
          <w:p>
            <w:pPr>
              <w:spacing w:after="0"/>
            </w:pPr>
            <w:r>
              <w:rPr>
                <w:b w:val="false"/>
                <w:bCs w:val="false"/>
                <w:color w:val="1a1a1a"/>
                <w:sz w:val="18"/>
                <w:szCs w:val="18"/>
              </w:rPr>
              <w:t xml:space="preserve">Électrification, assainissement, ratio élèves/enseignant</w:t>
            </w:r>
          </w:p>
        </w:tc>
      </w:tr>
      <w:tr>
        <w:tc>
          <w:tcPr>
            <w:tcW w:type="dxa" w:w="3300"/>
            <w:tcMar>
              <w:top w:type="dxa" w:w="60"/>
              <w:left w:type="dxa" w:w="100"/>
              <w:bottom w:type="dxa" w:w="60"/>
              <w:right w:type="dxa" w:w="100"/>
            </w:tcMar>
          </w:tcPr>
          <w:p>
            <w:pPr>
              <w:spacing w:after="0"/>
            </w:pPr>
            <w:r>
              <w:rPr>
                <w:b w:val="false"/>
                <w:bCs w:val="false"/>
                <w:color w:val="1a1a1a"/>
                <w:sz w:val="18"/>
                <w:szCs w:val="18"/>
              </w:rPr>
              <w:t xml:space="preserve">Frontières administratives</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geoBoundaries</w:t>
            </w:r>
          </w:p>
        </w:tc>
        <w:tc>
          <w:tcPr>
            <w:tcW w:type="dxa" w:w="4400"/>
            <w:tcMar>
              <w:top w:type="dxa" w:w="60"/>
              <w:left w:type="dxa" w:w="100"/>
              <w:bottom w:type="dxa" w:w="60"/>
              <w:right w:type="dxa" w:w="100"/>
            </w:tcMar>
          </w:tcPr>
          <w:p>
            <w:pPr>
              <w:spacing w:after="0"/>
            </w:pPr>
            <w:r>
              <w:rPr>
                <w:b w:val="false"/>
                <w:bCs w:val="false"/>
                <w:color w:val="1a1a1a"/>
                <w:sz w:val="18"/>
                <w:szCs w:val="18"/>
              </w:rPr>
              <w:t xml:space="preserve">5 régions, 37 préfectures (complétées par Voronoï)</w:t>
            </w:r>
          </w:p>
        </w:tc>
      </w:tr>
    </w:tbl>
    <w:p>
      <w:pPr>
        <w:spacing w:after="200" w:before="0"/>
      </w:pPr>
      <w:r>
        <w:rPr>
          <w:sz w:val="22"/>
          <w:szCs w:val="22"/>
        </w:rPr>
        <w:t xml:space="preserve">Nettoyage appliqué : recodage des valeurs manquantes déguisées (« Nsp », « N/a »), extraction des coordonnées WKT, filtre de vraisemblance géographique sur l'emprise du Togo, déduplication, invalidation des années aberrantes, harmonisation des noms des 39 préfectures et 117 communes, rattachement des inspections pédagogiques aux préfectures.</w:t>
      </w:r>
    </w:p>
    <w:p>
      <w:pPr>
        <w:pStyle w:val="Heading1"/>
        <w:spacing w:after="200" w:before="360"/>
      </w:pPr>
      <w:r>
        <w:rPr>
          <w:color w:val="00563F"/>
        </w:rPr>
        <w:t xml:space="preserve">3. Méthodologie (synthèse)</w:t>
      </w:r>
    </w:p>
    <w:p>
      <w:pPr>
        <w:spacing w:after="160" w:before="0"/>
      </w:pPr>
      <w:r>
        <w:rPr>
          <w:sz w:val="22"/>
          <w:szCs w:val="22"/>
        </w:rPr>
        <w:t xml:space="preserve">La chaîne complète — formules détaillées de chaque indicateur et justification de chaque choix — fait l'objet du rapport méthodologique joint. En synthèse :</w:t>
      </w:r>
    </w:p>
    <w:p>
      <w:pPr>
        <w:pStyle w:val="Heading2"/>
        <w:spacing w:after="160" w:before="280"/>
      </w:pPr>
      <w:r>
        <w:rPr>
          <w:color w:val="006A4E"/>
        </w:rPr>
        <w:t xml:space="preserve">3.1 Architecture découplée et format .rds</w:t>
      </w:r>
    </w:p>
    <w:p>
      <w:pPr>
        <w:shd w:fill="F2F7F4" w:val="clear"/>
        <w:spacing w:after="160" w:before="120"/>
        <w:jc w:val="center"/>
      </w:pPr>
      <w:r>
        <w:rPr>
          <w:rFonts w:ascii="Cambria Math" w:cs="Cambria Math" w:eastAsia="Cambria Math" w:hAnsi="Cambria Math"/>
          <w:i/>
          <w:iCs/>
          <w:sz w:val="24"/>
          <w:szCs w:val="24"/>
        </w:rPr>
        <w:t xml:space="preserve">Données brutes  →  Prétraitement R  →  Fichiers .rds  →  Dashboard R Shiny</w:t>
      </w:r>
    </w:p>
    <w:p>
      <w:pPr>
        <w:spacing w:after="160" w:before="0"/>
      </w:pPr>
      <w:r>
        <w:rPr>
          <w:sz w:val="22"/>
          <w:szCs w:val="22"/>
        </w:rPr>
        <w:t xml:space="preserve">Tous les traitements tournent en amont ; l'application ne fait que lire 11 fichiers .rds (format natif de R : fidèle aux objets spatiaux, rapide, sans aucune dépendance externe). Résultat : chargement instantané, fonctionnement hors ligne, mise à jour par simple relance d'un script.</w:t>
      </w:r>
    </w:p>
    <w:p>
      <w:pPr>
        <w:pStyle w:val="Heading2"/>
        <w:spacing w:after="160" w:before="280"/>
      </w:pPr>
      <w:r>
        <w:rPr>
          <w:color w:val="006A4E"/>
        </w:rPr>
        <w:t xml:space="preserve">3.2 Cartographie</w:t>
      </w:r>
    </w:p>
    <w:p>
      <w:pPr>
        <w:spacing w:after="160" w:before="0"/>
      </w:pPr>
      <w:r>
        <w:rPr>
          <w:sz w:val="22"/>
          <w:szCs w:val="22"/>
        </w:rPr>
        <w:t xml:space="preserve">Les frontières ouvertes ne couvrant que l'ancien découpage, les polygones des 39 préfectures et 117 communes ont été reconstruits par tessellation de Voronoï des 15 454 établissements géolocalisés, découpée par le contour national officiel — chaque école appartient ainsi exactement au polygone de sa commune déclarée.</w:t>
      </w:r>
    </w:p>
    <w:p>
      <w:pPr>
        <w:pStyle w:val="Heading2"/>
        <w:spacing w:after="160" w:before="280"/>
      </w:pPr>
      <w:r>
        <w:rPr>
          <w:color w:val="006A4E"/>
        </w:rPr>
        <w:t xml:space="preserve">3.3 Indicateurs et standardisation</w:t>
      </w:r>
    </w:p>
    <w:p>
      <w:pPr>
        <w:spacing w:after="160" w:before="0"/>
      </w:pPr>
      <w:r>
        <w:rPr>
          <w:sz w:val="22"/>
          <w:szCs w:val="22"/>
        </w:rPr>
        <w:t xml:space="preserve">Chaque territoire est décrit par une dizaine d'indicateurs par dimension (densité d'établissements pour 100 km², complétude du cycle éducatif, toilettes pour 100 établissements, bâtiments récents, enseignants pour 100 jardins d'enfants…). Les indicateurs sont standardisés puis écrêtés :</w:t>
      </w:r>
    </w:p>
    <w:p>
      <w:pPr>
        <w:shd w:fill="F2F7F4" w:val="clear"/>
        <w:spacing w:after="60" w:before="120"/>
        <w:jc w:val="center"/>
      </w:pPr>
      <w:r>
        <w:rPr>
          <w:rFonts w:ascii="Cambria Math" w:cs="Cambria Math" w:eastAsia="Cambria Math" w:hAnsi="Cambria Math"/>
          <w:i/>
          <w:iCs/>
          <w:sz w:val="24"/>
          <w:szCs w:val="24"/>
        </w:rPr>
        <w:t xml:space="preserve">zᵢ = (xᵢ − x̄) / s ,  borné à [−2,5 ; +2,5]</w:t>
      </w:r>
    </w:p>
    <w:p>
      <w:pPr>
        <w:spacing w:after="160"/>
        <w:jc w:val="center"/>
      </w:pPr>
      <w:r>
        <w:rPr>
          <w:i/>
          <w:iCs/>
          <w:color w:val="555555"/>
          <w:sz w:val="18"/>
          <w:szCs w:val="18"/>
        </w:rPr>
        <w:t xml:space="preserve">Imputation préalable des valeurs manquantes par la médiane régionale</w:t>
      </w:r>
    </w:p>
    <w:p>
      <w:pPr>
        <w:pStyle w:val="Heading2"/>
        <w:spacing w:after="160" w:before="280"/>
      </w:pPr>
      <w:r>
        <w:rPr>
          <w:color w:val="006A4E"/>
        </w:rPr>
        <w:t xml:space="preserve">3.4 ACP puis classification HCPC + K-means</w:t>
      </w:r>
    </w:p>
    <w:p>
      <w:pPr>
        <w:spacing w:after="160" w:before="0"/>
      </w:pPr>
      <w:r>
        <w:rPr>
          <w:sz w:val="22"/>
          <w:szCs w:val="22"/>
        </w:rPr>
        <w:t xml:space="preserve">Une ACP résume les 10 indicateurs actifs : 5 composantes retenues (85,4 % de variance expliquée au niveau communal). Une classification hiérarchique de Ward sur ces composantes, consolidée par K-means (inertie inter-classes : 52 %), dégage 4 profils de territoires, renumérotés du plus prioritaire au moins prioritaire et étiquetés automatiquement. Aucun résultat technique (valeurs propres, dendrogrammes) n'est montré à l'utilisateur.</w:t>
      </w:r>
    </w:p>
    <w:p>
      <w:pPr>
        <w:pStyle w:val="Heading2"/>
        <w:spacing w:after="160" w:before="280"/>
      </w:pPr>
      <w:r>
        <w:rPr>
          <w:color w:val="006A4E"/>
        </w:rPr>
        <w:t xml:space="preserve">3.5 L'Indice Synthétique de Priorité Éducative (ISPE)</w:t>
      </w:r>
    </w:p>
    <w:p>
      <w:pPr>
        <w:shd w:fill="F2F7F4" w:val="clear"/>
        <w:spacing w:after="60" w:before="120"/>
        <w:jc w:val="center"/>
      </w:pPr>
      <w:r>
        <w:rPr>
          <w:rFonts w:ascii="Cambria Math" w:cs="Cambria Math" w:eastAsia="Cambria Math" w:hAnsi="Cambria Math"/>
          <w:i/>
          <w:iCs/>
          <w:sz w:val="24"/>
          <w:szCs w:val="24"/>
        </w:rPr>
        <w:t xml:space="preserve">ISPE = 0,30 × D_couverture + 0,30 × D_infrastructures + 0,25 × D_enseignants + 0,15 × D_résultats</w:t>
      </w:r>
    </w:p>
    <w:p>
      <w:pPr>
        <w:spacing w:after="160"/>
        <w:jc w:val="center"/>
      </w:pPr>
      <w:r>
        <w:rPr>
          <w:i/>
          <w:iCs/>
          <w:color w:val="555555"/>
          <w:sz w:val="18"/>
          <w:szCs w:val="18"/>
        </w:rPr>
        <w:t xml:space="preserve">D_P : déficit 0-100 de la dimension P (0 = territoire le mieux doté du pays, 100 = le plus démuni)</w:t>
      </w:r>
    </w:p>
    <w:p>
      <w:pPr>
        <w:spacing w:after="160" w:before="0"/>
      </w:pPr>
      <w:r>
        <w:rPr>
          <w:sz w:val="22"/>
          <w:szCs w:val="22"/>
        </w:rPr>
        <w:t xml:space="preserve">Les niveaux de priorité sont attribués par quintiles : Très prioritaire, Prioritaire, À surveiller, Modéré, Satisfaisant. Les résultats d'examens n'étant ouverts qu'au niveau national, la dimension « résultats » territoriale mobilise un indice de conditions de réussite (encadrement, complétude du cycle, hygiène, état du bâti), pondéré prudemment à 15 %.</w:t>
      </w:r>
    </w:p>
    <w:p>
      <w:pPr>
        <w:pStyle w:val="Heading1"/>
        <w:spacing w:after="200" w:before="360"/>
      </w:pPr>
      <w:r>
        <w:rPr>
          <w:color w:val="00563F"/>
        </w:rPr>
        <w:t xml:space="preserve">4. La plateforme</w:t>
      </w:r>
    </w:p>
    <w:p>
      <w:pPr>
        <w:spacing w:after="160" w:before="0"/>
      </w:pPr>
      <w:r>
        <w:rPr>
          <w:sz w:val="22"/>
          <w:szCs w:val="22"/>
        </w:rPr>
        <w:t xml:space="preserve">L'application s'organise en 6 onglets, dans un habillage institutionnel aux couleurs du Togo :</w:t>
      </w:r>
    </w:p>
    <w:p>
      <w:pPr>
        <w:pStyle w:val="ListParagraph"/>
        <w:numPr>
          <w:ilvl w:val="0"/>
          <w:numId w:val="2"/>
        </w:numPr>
        <w:spacing w:after="80"/>
      </w:pPr>
      <w:r>
        <w:rPr>
          <w:sz w:val="22"/>
          <w:szCs w:val="22"/>
        </w:rPr>
        <w:t xml:space="preserve">Accueil : chiffres clés, indicateurs nationaux, résumé automatique, carte nationale, Top 10 des territoires prioritaires, rapport national téléchargeable ;</w:t>
      </w:r>
    </w:p>
    <w:p>
      <w:pPr>
        <w:pStyle w:val="ListParagraph"/>
        <w:numPr>
          <w:ilvl w:val="0"/>
          <w:numId w:val="2"/>
        </w:numPr>
        <w:spacing w:after="80"/>
      </w:pPr>
      <w:r>
        <w:rPr>
          <w:sz w:val="22"/>
          <w:szCs w:val="22"/>
        </w:rPr>
        <w:t xml:space="preserve">Couverture scolaire, Infrastructures essentielles, Capacité enseignante : indicateurs, cartographie interactive (zoom, recherche, filtres, export PNG/PDF/JPEG conservant zoom et légende), comparaison de territoires, exports Excel/CSV/PDF ;</w:t>
      </w:r>
    </w:p>
    <w:p>
      <w:pPr>
        <w:pStyle w:val="ListParagraph"/>
        <w:numPr>
          <w:ilvl w:val="0"/>
          <w:numId w:val="2"/>
        </w:numPr>
        <w:spacing w:after="80"/>
      </w:pPr>
      <w:r>
        <w:rPr>
          <w:sz w:val="22"/>
          <w:szCs w:val="22"/>
        </w:rPr>
        <w:t xml:space="preserve">Priorisation des investissements (module central) : vue nationale, fiche territoire, résultats scolaires, simulateur, comparaison ;</w:t>
      </w:r>
    </w:p>
    <w:p>
      <w:pPr>
        <w:pStyle w:val="ListParagraph"/>
        <w:numPr>
          <w:ilvl w:val="0"/>
          <w:numId w:val="2"/>
        </w:numPr>
        <w:spacing w:after="80"/>
      </w:pPr>
      <w:r>
        <w:rPr>
          <w:sz w:val="22"/>
          <w:szCs w:val="22"/>
        </w:rPr>
        <w:t xml:space="preserve">Auteur : profil et présentation du projet.</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1 — Accueil : chiffres clés, carte nationale des priorités et Top 10</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2 — Priorisation : carte des priorités et classement national (score ISPE)</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3 — Fiche territoire : profil, explication automatique et contributions des 4 dimensions</w:t>
      </w:r>
    </w:p>
    <w:p>
      <w:pPr>
        <w:pStyle w:val="Heading1"/>
        <w:spacing w:after="200" w:before="360"/>
      </w:pPr>
      <w:r>
        <w:rPr>
          <w:color w:val="00563F"/>
        </w:rPr>
        <w:t xml:space="preserve">5. Le simulateur de politiques publiques</w:t>
      </w:r>
    </w:p>
    <w:p>
      <w:pPr>
        <w:spacing w:after="160" w:before="0"/>
      </w:pPr>
      <w:r>
        <w:rPr>
          <w:sz w:val="22"/>
          <w:szCs w:val="22"/>
        </w:rPr>
        <w:t xml:space="preserve">Le simulateur répond à des questions posées en langage naturel : « Que se passe-t-il si je construis 50 salles de classe dans la commune de Tône 1 ? ». La question est analysée (quantité, type d'investissement, territoire), l'impact est calculé « toutes choses égales par ailleurs » à partir des paramètres précalculés du prétraitement, et la réponse est restituée en clair : score ISPE avant/après, évolution du rang national, déficits par dimension et indicateurs modifiés.</w:t>
      </w:r>
    </w:p>
    <w:p>
      <w:pPr>
        <w:pBdr>
          <w:left w:val="single" w:color="006A4E" w:sz="18"/>
        </w:pBdr>
        <w:spacing w:after="200" w:before="60"/>
        <w:ind w:left="200"/>
      </w:pPr>
      <w:r>
        <w:rPr>
          <w:b/>
          <w:bCs/>
          <w:color w:val="00563F"/>
          <w:sz w:val="22"/>
          <w:szCs w:val="22"/>
        </w:rPr>
        <w:t xml:space="preserve">Exemple réel.  </w:t>
      </w:r>
      <w:r>
        <w:rPr>
          <w:sz w:val="22"/>
          <w:szCs w:val="22"/>
        </w:rPr>
        <w:t xml:space="preserve">Construire 50 salles de classe à Tône 1 ferait passer son score ISPE de 50,4 à 47,9 (−2,5 points) et son rang de 77 à 89 sur 117 : le besoin diminue nettement, d'autres territoires deviennent comparativement plus prioritaires. Huit types d'investissements sont couverts : salles de classe, écoles, enseignants, toilettes, bibliothèques, terrains de sport, électrification/réhabilitation, jardins d'enfants.</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4 — Simulateur : impact d'une politique publique sur le score et le rang du territoire</w:t>
      </w:r>
    </w:p>
    <w:p>
      <w:pPr>
        <w:spacing w:after="160" w:before="0"/>
      </w:pPr>
      <w:r>
        <w:rPr>
          <w:i/>
          <w:iCs/>
          <w:sz w:val="22"/>
          <w:szCs w:val="22"/>
        </w:rPr>
        <w:t xml:space="preserve">Les hypothèses de chaque simulation sont affichées, et l'outil rappelle qu'il éclaire un ordre de grandeur sans remplacer une étude de faisabilité.</w:t>
      </w:r>
    </w:p>
    <w:p>
      <w:pPr>
        <w:pStyle w:val="Heading1"/>
        <w:spacing w:after="200" w:before="360"/>
      </w:pPr>
      <w:r>
        <w:rPr>
          <w:color w:val="00563F"/>
        </w:rPr>
        <w:t xml:space="preserve">6. Résultats et enseignements</w:t>
      </w:r>
    </w:p>
    <w:p>
      <w:pPr>
        <w:pStyle w:val="Heading2"/>
        <w:spacing w:after="160" w:before="280"/>
      </w:pPr>
      <w:r>
        <w:rPr>
          <w:color w:val="006A4E"/>
        </w:rPr>
        <w:t xml:space="preserve">6.1 Les territoires les plus prioritaires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200"/>
        <w:gridCol w:w="2100"/>
      </w:tblGrid>
      <w:tr>
        <w:trPr>
          <w:tblHeader/>
        </w:trPr>
        <w:tc>
          <w:tcPr>
            <w:tcW w:type="dxa" w:w="1100"/>
            <w:shd w:fill="00563F" w:val="clear"/>
            <w:tcMar>
              <w:top w:type="dxa" w:w="60"/>
              <w:left w:type="dxa" w:w="100"/>
              <w:bottom w:type="dxa" w:w="60"/>
              <w:right w:type="dxa" w:w="100"/>
            </w:tcMar>
          </w:tcPr>
          <w:p>
            <w:pPr>
              <w:spacing w:after="0"/>
            </w:pPr>
            <w:r>
              <w:rPr>
                <w:b/>
                <w:bCs/>
                <w:color w:val="FFFFFF"/>
                <w:sz w:val="18"/>
                <w:szCs w:val="18"/>
              </w:rPr>
              <w:t xml:space="preserve">Rang</w:t>
            </w:r>
          </w:p>
        </w:tc>
        <w:tc>
          <w:tcPr>
            <w:tcW w:type="dxa" w:w="2200"/>
            <w:shd w:fill="00563F" w:val="clear"/>
            <w:tcMar>
              <w:top w:type="dxa" w:w="60"/>
              <w:left w:type="dxa" w:w="100"/>
              <w:bottom w:type="dxa" w:w="60"/>
              <w:right w:type="dxa" w:w="100"/>
            </w:tcMar>
          </w:tcPr>
          <w:p>
            <w:pPr>
              <w:spacing w:after="0"/>
            </w:pPr>
            <w:r>
              <w:rPr>
                <w:b/>
                <w:bCs/>
                <w:color w:val="FFFFFF"/>
                <w:sz w:val="18"/>
                <w:szCs w:val="18"/>
              </w:rPr>
              <w:t xml:space="preserve">Commune</w:t>
            </w:r>
          </w:p>
        </w:tc>
        <w:tc>
          <w:tcPr>
            <w:tcW w:type="dxa" w:w="2200"/>
            <w:shd w:fill="00563F" w:val="clear"/>
            <w:tcMar>
              <w:top w:type="dxa" w:w="60"/>
              <w:left w:type="dxa" w:w="100"/>
              <w:bottom w:type="dxa" w:w="60"/>
              <w:right w:type="dxa" w:w="100"/>
            </w:tcMar>
          </w:tcPr>
          <w:p>
            <w:pPr>
              <w:spacing w:after="0"/>
            </w:pPr>
            <w:r>
              <w:rPr>
                <w:b/>
                <w:bCs/>
                <w:color w:val="FFFFFF"/>
                <w:sz w:val="18"/>
                <w:szCs w:val="18"/>
              </w:rPr>
              <w:t xml:space="preserve">Préfecture</w:t>
            </w:r>
          </w:p>
        </w:tc>
        <w:tc>
          <w:tcPr>
            <w:tcW w:type="dxa" w:w="2200"/>
            <w:shd w:fill="00563F" w:val="clear"/>
            <w:tcMar>
              <w:top w:type="dxa" w:w="60"/>
              <w:left w:type="dxa" w:w="100"/>
              <w:bottom w:type="dxa" w:w="60"/>
              <w:right w:type="dxa" w:w="100"/>
            </w:tcMar>
          </w:tcPr>
          <w:p>
            <w:pPr>
              <w:spacing w:after="0"/>
            </w:pPr>
            <w:r>
              <w:rPr>
                <w:b/>
                <w:bCs/>
                <w:color w:val="FFFFFF"/>
                <w:sz w:val="18"/>
                <w:szCs w:val="18"/>
              </w:rPr>
              <w:t xml:space="preserve">Région</w:t>
            </w:r>
          </w:p>
        </w:tc>
        <w:tc>
          <w:tcPr>
            <w:tcW w:type="dxa" w:w="2100"/>
            <w:shd w:fill="00563F" w:val="clear"/>
            <w:tcMar>
              <w:top w:type="dxa" w:w="60"/>
              <w:left w:type="dxa" w:w="100"/>
              <w:bottom w:type="dxa" w:w="60"/>
              <w:right w:type="dxa" w:w="100"/>
            </w:tcMar>
          </w:tcPr>
          <w:p>
            <w:pPr>
              <w:spacing w:after="0"/>
            </w:pPr>
            <w:r>
              <w:rPr>
                <w:b/>
                <w:bCs/>
                <w:color w:val="FFFFFF"/>
                <w:sz w:val="18"/>
                <w:szCs w:val="18"/>
              </w:rPr>
              <w:t xml:space="preserve">Score ISPE</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1</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Wawa 1</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Wawa</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Plateaux</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76,6</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2</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Wawa 2</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Wawa</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Plateaux</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76,2</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3</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Lacs 2</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Lacs</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Maritime</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75,5</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4</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Haho 3</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Haho</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Plateaux</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72,6</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5</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Anié 2</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Anié</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Plateaux</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71,5</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6</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Danyi 1</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Danyi</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Plateaux</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71,2</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7</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Danyi 2</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Danyi</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Plateaux</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70,5</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8</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Zio 4</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Zio</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Maritime</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69,8</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9</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Agou 1</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Agou</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Plateaux</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68,9</w:t>
            </w:r>
          </w:p>
        </w:tc>
      </w:tr>
      <w:tr>
        <w:tc>
          <w:tcPr>
            <w:tcW w:type="dxa" w:w="1100"/>
            <w:tcMar>
              <w:top w:type="dxa" w:w="60"/>
              <w:left w:type="dxa" w:w="100"/>
              <w:bottom w:type="dxa" w:w="60"/>
              <w:right w:type="dxa" w:w="100"/>
            </w:tcMar>
          </w:tcPr>
          <w:p>
            <w:pPr>
              <w:spacing w:after="0"/>
            </w:pPr>
            <w:r>
              <w:rPr>
                <w:b w:val="false"/>
                <w:bCs w:val="false"/>
                <w:color w:val="1a1a1a"/>
                <w:sz w:val="18"/>
                <w:szCs w:val="18"/>
              </w:rPr>
              <w:t xml:space="preserve">10</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Avé 1</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Avé</w:t>
            </w:r>
          </w:p>
        </w:tc>
        <w:tc>
          <w:tcPr>
            <w:tcW w:type="dxa" w:w="2200"/>
            <w:tcMar>
              <w:top w:type="dxa" w:w="60"/>
              <w:left w:type="dxa" w:w="100"/>
              <w:bottom w:type="dxa" w:w="60"/>
              <w:right w:type="dxa" w:w="100"/>
            </w:tcMar>
          </w:tcPr>
          <w:p>
            <w:pPr>
              <w:spacing w:after="0"/>
            </w:pPr>
            <w:r>
              <w:rPr>
                <w:b w:val="false"/>
                <w:bCs w:val="false"/>
                <w:color w:val="1a1a1a"/>
                <w:sz w:val="18"/>
                <w:szCs w:val="18"/>
              </w:rPr>
              <w:t xml:space="preserve">Maritime</w:t>
            </w:r>
          </w:p>
        </w:tc>
        <w:tc>
          <w:tcPr>
            <w:tcW w:type="dxa" w:w="2100"/>
            <w:tcMar>
              <w:top w:type="dxa" w:w="60"/>
              <w:left w:type="dxa" w:w="100"/>
              <w:bottom w:type="dxa" w:w="60"/>
              <w:right w:type="dxa" w:w="100"/>
            </w:tcMar>
          </w:tcPr>
          <w:p>
            <w:pPr>
              <w:spacing w:after="0"/>
            </w:pPr>
            <w:r>
              <w:rPr>
                <w:b w:val="false"/>
                <w:bCs w:val="false"/>
                <w:color w:val="1a1a1a"/>
                <w:sz w:val="18"/>
                <w:szCs w:val="18"/>
              </w:rPr>
              <w:t xml:space="preserve">68,0</w:t>
            </w:r>
          </w:p>
        </w:tc>
      </w:tr>
    </w:tbl>
    <w:p>
      <w:pPr>
        <w:spacing w:after="160" w:before="120"/>
      </w:pPr>
      <w:r>
        <w:rPr>
          <w:sz w:val="22"/>
          <w:szCs w:val="22"/>
        </w:rPr>
        <w:t xml:space="preserve">Répartition des 117 communes : 24 très prioritaires, 23 prioritaires, 24 à surveiller, 23 modérées, 23 satisfaisantes. Au niveau préfectoral, Wawa (80,6), Danyi (76,8), Agou (73,9), Anié (72,5) et Avé (69,7) arrivent en tête.</w:t>
      </w:r>
    </w:p>
    <w:p>
      <w:pPr>
        <w:pStyle w:val="Heading2"/>
        <w:spacing w:after="160" w:before="280"/>
      </w:pPr>
      <w:r>
        <w:rPr>
          <w:color w:val="006A4E"/>
        </w:rPr>
        <w:t xml:space="preserve">6.2 Quatre profils de territoires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1500"/>
        <w:gridCol w:w="3300"/>
      </w:tblGrid>
      <w:tr>
        <w:trPr>
          <w:tblHeader/>
        </w:trPr>
        <w:tc>
          <w:tcPr>
            <w:tcW w:type="dxa" w:w="3100"/>
            <w:shd w:fill="00563F" w:val="clear"/>
            <w:tcMar>
              <w:top w:type="dxa" w:w="60"/>
              <w:left w:type="dxa" w:w="100"/>
              <w:bottom w:type="dxa" w:w="60"/>
              <w:right w:type="dxa" w:w="100"/>
            </w:tcMar>
          </w:tcPr>
          <w:p>
            <w:pPr>
              <w:spacing w:after="0"/>
            </w:pPr>
            <w:r>
              <w:rPr>
                <w:b/>
                <w:bCs/>
                <w:color w:val="FFFFFF"/>
                <w:sz w:val="18"/>
                <w:szCs w:val="18"/>
              </w:rPr>
              <w:t xml:space="preserve">Profil</w:t>
            </w:r>
          </w:p>
        </w:tc>
        <w:tc>
          <w:tcPr>
            <w:tcW w:type="dxa" w:w="1900"/>
            <w:shd w:fill="00563F" w:val="clear"/>
            <w:tcMar>
              <w:top w:type="dxa" w:w="60"/>
              <w:left w:type="dxa" w:w="100"/>
              <w:bottom w:type="dxa" w:w="60"/>
              <w:right w:type="dxa" w:w="100"/>
            </w:tcMar>
          </w:tcPr>
          <w:p>
            <w:pPr>
              <w:spacing w:after="0"/>
            </w:pPr>
            <w:r>
              <w:rPr>
                <w:b/>
                <w:bCs/>
                <w:color w:val="FFFFFF"/>
                <w:sz w:val="18"/>
                <w:szCs w:val="18"/>
              </w:rPr>
              <w:t xml:space="preserve">Effectif</w:t>
            </w:r>
          </w:p>
        </w:tc>
        <w:tc>
          <w:tcPr>
            <w:tcW w:type="dxa" w:w="1500"/>
            <w:shd w:fill="00563F" w:val="clear"/>
            <w:tcMar>
              <w:top w:type="dxa" w:w="60"/>
              <w:left w:type="dxa" w:w="100"/>
              <w:bottom w:type="dxa" w:w="60"/>
              <w:right w:type="dxa" w:w="100"/>
            </w:tcMar>
          </w:tcPr>
          <w:p>
            <w:pPr>
              <w:spacing w:after="0"/>
            </w:pPr>
            <w:r>
              <w:rPr>
                <w:b/>
                <w:bCs/>
                <w:color w:val="FFFFFF"/>
                <w:sz w:val="18"/>
                <w:szCs w:val="18"/>
              </w:rPr>
              <w:t xml:space="preserve">ISPE moyen</w:t>
            </w:r>
          </w:p>
        </w:tc>
        <w:tc>
          <w:tcPr>
            <w:tcW w:type="dxa" w:w="3300"/>
            <w:shd w:fill="00563F" w:val="clear"/>
            <w:tcMar>
              <w:top w:type="dxa" w:w="60"/>
              <w:left w:type="dxa" w:w="100"/>
              <w:bottom w:type="dxa" w:w="60"/>
              <w:right w:type="dxa" w:w="100"/>
            </w:tcMar>
          </w:tcPr>
          <w:p>
            <w:pPr>
              <w:spacing w:after="0"/>
            </w:pPr>
            <w:r>
              <w:rPr>
                <w:b/>
                <w:bCs/>
                <w:color w:val="FFFFFF"/>
                <w:sz w:val="18"/>
                <w:szCs w:val="18"/>
              </w:rPr>
              <w:t xml:space="preserve">Dimension dominante du déficit</w:t>
            </w:r>
          </w:p>
        </w:tc>
      </w:tr>
      <w:tr>
        <w:tc>
          <w:tcPr>
            <w:tcW w:type="dxa" w:w="3100"/>
            <w:tcMar>
              <w:top w:type="dxa" w:w="60"/>
              <w:left w:type="dxa" w:w="100"/>
              <w:bottom w:type="dxa" w:w="60"/>
              <w:right w:type="dxa" w:w="100"/>
            </w:tcMar>
          </w:tcPr>
          <w:p>
            <w:pPr>
              <w:spacing w:after="0"/>
            </w:pPr>
            <w:r>
              <w:rPr>
                <w:b w:val="false"/>
                <w:bCs w:val="false"/>
                <w:color w:val="1a1a1a"/>
                <w:sz w:val="18"/>
                <w:szCs w:val="18"/>
              </w:rPr>
              <w:t xml:space="preserve">Classe 1 — Priorité critique</w:t>
            </w:r>
          </w:p>
        </w:tc>
        <w:tc>
          <w:tcPr>
            <w:tcW w:type="dxa" w:w="1900"/>
            <w:tcMar>
              <w:top w:type="dxa" w:w="60"/>
              <w:left w:type="dxa" w:w="100"/>
              <w:bottom w:type="dxa" w:w="60"/>
              <w:right w:type="dxa" w:w="100"/>
            </w:tcMar>
          </w:tcPr>
          <w:p>
            <w:pPr>
              <w:spacing w:after="0"/>
            </w:pPr>
            <w:r>
              <w:rPr>
                <w:b w:val="false"/>
                <w:bCs w:val="false"/>
                <w:color w:val="1a1a1a"/>
                <w:sz w:val="18"/>
                <w:szCs w:val="18"/>
              </w:rPr>
              <w:t xml:space="preserve">33 communes</w:t>
            </w:r>
          </w:p>
        </w:tc>
        <w:tc>
          <w:tcPr>
            <w:tcW w:type="dxa" w:w="1500"/>
            <w:tcMar>
              <w:top w:type="dxa" w:w="60"/>
              <w:left w:type="dxa" w:w="100"/>
              <w:bottom w:type="dxa" w:w="60"/>
              <w:right w:type="dxa" w:w="100"/>
            </w:tcMar>
          </w:tcPr>
          <w:p>
            <w:pPr>
              <w:spacing w:after="0"/>
            </w:pPr>
            <w:r>
              <w:rPr>
                <w:b w:val="false"/>
                <w:bCs w:val="false"/>
                <w:color w:val="1a1a1a"/>
                <w:sz w:val="18"/>
                <w:szCs w:val="18"/>
              </w:rPr>
              <w:t xml:space="preserve">59,0</w:t>
            </w:r>
          </w:p>
        </w:tc>
        <w:tc>
          <w:tcPr>
            <w:tcW w:type="dxa" w:w="3300"/>
            <w:tcMar>
              <w:top w:type="dxa" w:w="60"/>
              <w:left w:type="dxa" w:w="100"/>
              <w:bottom w:type="dxa" w:w="60"/>
              <w:right w:type="dxa" w:w="100"/>
            </w:tcMar>
          </w:tcPr>
          <w:p>
            <w:pPr>
              <w:spacing w:after="0"/>
            </w:pPr>
            <w:r>
              <w:rPr>
                <w:b w:val="false"/>
                <w:bCs w:val="false"/>
                <w:color w:val="1a1a1a"/>
                <w:sz w:val="18"/>
                <w:szCs w:val="18"/>
              </w:rPr>
              <w:t xml:space="preserve">Couverture scolaire</w:t>
            </w:r>
          </w:p>
        </w:tc>
      </w:tr>
      <w:tr>
        <w:tc>
          <w:tcPr>
            <w:tcW w:type="dxa" w:w="3100"/>
            <w:tcMar>
              <w:top w:type="dxa" w:w="60"/>
              <w:left w:type="dxa" w:w="100"/>
              <w:bottom w:type="dxa" w:w="60"/>
              <w:right w:type="dxa" w:w="100"/>
            </w:tcMar>
          </w:tcPr>
          <w:p>
            <w:pPr>
              <w:spacing w:after="0"/>
            </w:pPr>
            <w:r>
              <w:rPr>
                <w:b w:val="false"/>
                <w:bCs w:val="false"/>
                <w:color w:val="1a1a1a"/>
                <w:sz w:val="18"/>
                <w:szCs w:val="18"/>
              </w:rPr>
              <w:t xml:space="preserve">Classe 2 — Priorité élevée</w:t>
            </w:r>
          </w:p>
        </w:tc>
        <w:tc>
          <w:tcPr>
            <w:tcW w:type="dxa" w:w="1900"/>
            <w:tcMar>
              <w:top w:type="dxa" w:w="60"/>
              <w:left w:type="dxa" w:w="100"/>
              <w:bottom w:type="dxa" w:w="60"/>
              <w:right w:type="dxa" w:w="100"/>
            </w:tcMar>
          </w:tcPr>
          <w:p>
            <w:pPr>
              <w:spacing w:after="0"/>
            </w:pPr>
            <w:r>
              <w:rPr>
                <w:b w:val="false"/>
                <w:bCs w:val="false"/>
                <w:color w:val="1a1a1a"/>
                <w:sz w:val="18"/>
                <w:szCs w:val="18"/>
              </w:rPr>
              <w:t xml:space="preserve">48 communes</w:t>
            </w:r>
          </w:p>
        </w:tc>
        <w:tc>
          <w:tcPr>
            <w:tcW w:type="dxa" w:w="1500"/>
            <w:tcMar>
              <w:top w:type="dxa" w:w="60"/>
              <w:left w:type="dxa" w:w="100"/>
              <w:bottom w:type="dxa" w:w="60"/>
              <w:right w:type="dxa" w:w="100"/>
            </w:tcMar>
          </w:tcPr>
          <w:p>
            <w:pPr>
              <w:spacing w:after="0"/>
            </w:pPr>
            <w:r>
              <w:rPr>
                <w:b w:val="false"/>
                <w:bCs w:val="false"/>
                <w:color w:val="1a1a1a"/>
                <w:sz w:val="18"/>
                <w:szCs w:val="18"/>
              </w:rPr>
              <w:t xml:space="preserve">56,1</w:t>
            </w:r>
          </w:p>
        </w:tc>
        <w:tc>
          <w:tcPr>
            <w:tcW w:type="dxa" w:w="3300"/>
            <w:tcMar>
              <w:top w:type="dxa" w:w="60"/>
              <w:left w:type="dxa" w:w="100"/>
              <w:bottom w:type="dxa" w:w="60"/>
              <w:right w:type="dxa" w:w="100"/>
            </w:tcMar>
          </w:tcPr>
          <w:p>
            <w:pPr>
              <w:spacing w:after="0"/>
            </w:pPr>
            <w:r>
              <w:rPr>
                <w:b w:val="false"/>
                <w:bCs w:val="false"/>
                <w:color w:val="1a1a1a"/>
                <w:sz w:val="18"/>
                <w:szCs w:val="18"/>
              </w:rPr>
              <w:t xml:space="preserve">Infrastructures essentielles</w:t>
            </w:r>
          </w:p>
        </w:tc>
      </w:tr>
      <w:tr>
        <w:tc>
          <w:tcPr>
            <w:tcW w:type="dxa" w:w="3100"/>
            <w:tcMar>
              <w:top w:type="dxa" w:w="60"/>
              <w:left w:type="dxa" w:w="100"/>
              <w:bottom w:type="dxa" w:w="60"/>
              <w:right w:type="dxa" w:w="100"/>
            </w:tcMar>
          </w:tcPr>
          <w:p>
            <w:pPr>
              <w:spacing w:after="0"/>
            </w:pPr>
            <w:r>
              <w:rPr>
                <w:b w:val="false"/>
                <w:bCs w:val="false"/>
                <w:color w:val="1a1a1a"/>
                <w:sz w:val="18"/>
                <w:szCs w:val="18"/>
              </w:rPr>
              <w:t xml:space="preserve">Classe 3 — Priorité modérée</w:t>
            </w:r>
          </w:p>
        </w:tc>
        <w:tc>
          <w:tcPr>
            <w:tcW w:type="dxa" w:w="1900"/>
            <w:tcMar>
              <w:top w:type="dxa" w:w="60"/>
              <w:left w:type="dxa" w:w="100"/>
              <w:bottom w:type="dxa" w:w="60"/>
              <w:right w:type="dxa" w:w="100"/>
            </w:tcMar>
          </w:tcPr>
          <w:p>
            <w:pPr>
              <w:spacing w:after="0"/>
            </w:pPr>
            <w:r>
              <w:rPr>
                <w:b w:val="false"/>
                <w:bCs w:val="false"/>
                <w:color w:val="1a1a1a"/>
                <w:sz w:val="18"/>
                <w:szCs w:val="18"/>
              </w:rPr>
              <w:t xml:space="preserve">14 communes</w:t>
            </w:r>
          </w:p>
        </w:tc>
        <w:tc>
          <w:tcPr>
            <w:tcW w:type="dxa" w:w="1500"/>
            <w:tcMar>
              <w:top w:type="dxa" w:w="60"/>
              <w:left w:type="dxa" w:w="100"/>
              <w:bottom w:type="dxa" w:w="60"/>
              <w:right w:type="dxa" w:w="100"/>
            </w:tcMar>
          </w:tcPr>
          <w:p>
            <w:pPr>
              <w:spacing w:after="0"/>
            </w:pPr>
            <w:r>
              <w:rPr>
                <w:b w:val="false"/>
                <w:bCs w:val="false"/>
                <w:color w:val="1a1a1a"/>
                <w:sz w:val="18"/>
                <w:szCs w:val="18"/>
              </w:rPr>
              <w:t xml:space="preserve">53,1</w:t>
            </w:r>
          </w:p>
        </w:tc>
        <w:tc>
          <w:tcPr>
            <w:tcW w:type="dxa" w:w="3300"/>
            <w:tcMar>
              <w:top w:type="dxa" w:w="60"/>
              <w:left w:type="dxa" w:w="100"/>
              <w:bottom w:type="dxa" w:w="60"/>
              <w:right w:type="dxa" w:w="100"/>
            </w:tcMar>
          </w:tcPr>
          <w:p>
            <w:pPr>
              <w:spacing w:after="0"/>
            </w:pPr>
            <w:r>
              <w:rPr>
                <w:b w:val="false"/>
                <w:bCs w:val="false"/>
                <w:color w:val="1a1a1a"/>
                <w:sz w:val="18"/>
                <w:szCs w:val="18"/>
              </w:rPr>
              <w:t xml:space="preserve">Infrastructures essentielles</w:t>
            </w:r>
          </w:p>
        </w:tc>
      </w:tr>
      <w:tr>
        <w:tc>
          <w:tcPr>
            <w:tcW w:type="dxa" w:w="3100"/>
            <w:tcMar>
              <w:top w:type="dxa" w:w="60"/>
              <w:left w:type="dxa" w:w="100"/>
              <w:bottom w:type="dxa" w:w="60"/>
              <w:right w:type="dxa" w:w="100"/>
            </w:tcMar>
          </w:tcPr>
          <w:p>
            <w:pPr>
              <w:spacing w:after="0"/>
            </w:pPr>
            <w:r>
              <w:rPr>
                <w:b w:val="false"/>
                <w:bCs w:val="false"/>
                <w:color w:val="1a1a1a"/>
                <w:sz w:val="18"/>
                <w:szCs w:val="18"/>
              </w:rPr>
              <w:t xml:space="preserve">Classe 4 — Priorité faible</w:t>
            </w:r>
          </w:p>
        </w:tc>
        <w:tc>
          <w:tcPr>
            <w:tcW w:type="dxa" w:w="1900"/>
            <w:tcMar>
              <w:top w:type="dxa" w:w="60"/>
              <w:left w:type="dxa" w:w="100"/>
              <w:bottom w:type="dxa" w:w="60"/>
              <w:right w:type="dxa" w:w="100"/>
            </w:tcMar>
          </w:tcPr>
          <w:p>
            <w:pPr>
              <w:spacing w:after="0"/>
            </w:pPr>
            <w:r>
              <w:rPr>
                <w:b w:val="false"/>
                <w:bCs w:val="false"/>
                <w:color w:val="1a1a1a"/>
                <w:sz w:val="18"/>
                <w:szCs w:val="18"/>
              </w:rPr>
              <w:t xml:space="preserve">22 communes</w:t>
            </w:r>
          </w:p>
        </w:tc>
        <w:tc>
          <w:tcPr>
            <w:tcW w:type="dxa" w:w="1500"/>
            <w:tcMar>
              <w:top w:type="dxa" w:w="60"/>
              <w:left w:type="dxa" w:w="100"/>
              <w:bottom w:type="dxa" w:w="60"/>
              <w:right w:type="dxa" w:w="100"/>
            </w:tcMar>
          </w:tcPr>
          <w:p>
            <w:pPr>
              <w:spacing w:after="0"/>
            </w:pPr>
            <w:r>
              <w:rPr>
                <w:b w:val="false"/>
                <w:bCs w:val="false"/>
                <w:color w:val="1a1a1a"/>
                <w:sz w:val="18"/>
                <w:szCs w:val="18"/>
              </w:rPr>
              <w:t xml:space="preserve">47,2</w:t>
            </w:r>
          </w:p>
        </w:tc>
        <w:tc>
          <w:tcPr>
            <w:tcW w:type="dxa" w:w="3300"/>
            <w:tcMar>
              <w:top w:type="dxa" w:w="60"/>
              <w:left w:type="dxa" w:w="100"/>
              <w:bottom w:type="dxa" w:w="60"/>
              <w:right w:type="dxa" w:w="100"/>
            </w:tcMar>
          </w:tcPr>
          <w:p>
            <w:pPr>
              <w:spacing w:after="0"/>
            </w:pPr>
            <w:r>
              <w:rPr>
                <w:b w:val="false"/>
                <w:bCs w:val="false"/>
                <w:color w:val="1a1a1a"/>
                <w:sz w:val="18"/>
                <w:szCs w:val="18"/>
              </w:rPr>
              <w:t xml:space="preserve">Couverture scolaire</w:t>
            </w:r>
          </w:p>
        </w:tc>
      </w:tr>
    </w:tbl>
    <w:p>
      <w:pPr>
        <w:pStyle w:val="Heading2"/>
        <w:spacing w:after="160" w:before="280"/>
      </w:pPr>
      <w:r>
        <w:rPr>
          <w:color w:val="006A4E"/>
        </w:rPr>
        <w:t xml:space="preserve">6.3 Enseignements clés</w:t>
      </w:r>
    </w:p>
    <w:p>
      <w:pPr>
        <w:pStyle w:val="ListParagraph"/>
        <w:numPr>
          <w:ilvl w:val="0"/>
          <w:numId w:val="2"/>
        </w:numPr>
        <w:spacing w:after="80"/>
      </w:pPr>
      <w:r>
        <w:rPr>
          <w:sz w:val="22"/>
          <w:szCs w:val="22"/>
        </w:rPr>
        <w:t xml:space="preserve">Les besoins les plus aigus ne sont pas toujours là où on les attend : plusieurs communes des Plateaux (Wawa, Danyi, Agou) et de la Maritime (Lacs 2, Zio 4, Avé 1) devancent des zones réputées plus enclavées ;</w:t>
      </w:r>
    </w:p>
    <w:p>
      <w:pPr>
        <w:pStyle w:val="ListParagraph"/>
        <w:numPr>
          <w:ilvl w:val="0"/>
          <w:numId w:val="2"/>
        </w:numPr>
        <w:spacing w:after="80"/>
      </w:pPr>
      <w:r>
        <w:rPr>
          <w:sz w:val="22"/>
          <w:szCs w:val="22"/>
        </w:rPr>
        <w:t xml:space="preserve">Le déficit d'infrastructures (toilettes améliorées, bâtiments anciens, absence de bibliothèques) est le premier facteur de priorité pour 62 communes sur 117 ;</w:t>
      </w:r>
    </w:p>
    <w:p>
      <w:pPr>
        <w:pStyle w:val="ListParagraph"/>
        <w:numPr>
          <w:ilvl w:val="0"/>
          <w:numId w:val="2"/>
        </w:numPr>
        <w:spacing w:after="80"/>
      </w:pPr>
      <w:r>
        <w:rPr>
          <w:sz w:val="22"/>
          <w:szCs w:val="22"/>
        </w:rPr>
        <w:t xml:space="preserve">Les bibliothèques scolaires sont quasi inexistantes (3 recensées au niveau national) : c'est la recommandation la plus fréquente (117 communes concernées) ;</w:t>
      </w:r>
    </w:p>
    <w:p>
      <w:pPr>
        <w:pStyle w:val="ListParagraph"/>
        <w:numPr>
          <w:ilvl w:val="0"/>
          <w:numId w:val="2"/>
        </w:numPr>
        <w:spacing w:after="80"/>
      </w:pPr>
      <w:r>
        <w:rPr>
          <w:sz w:val="22"/>
          <w:szCs w:val="22"/>
        </w:rPr>
        <w:t xml:space="preserve">Au plan national, la réussite à l'examen de compétence au primaire atteint 81,8 % (2022), mais seules 28,7 % des écoles primaires sont électrifiées — l'écart entre résultats et conditions matérielles est le cœur du problème d'équité.</w:t>
      </w:r>
    </w:p>
    <w:p>
      <w:pPr>
        <w:spacing w:after="60" w:before="120"/>
        <w:jc w:val="center"/>
      </w:pPr>
      <w:r>
        <w:drawing>
          <wp:inline distT="0" distB="0" distL="0" distR="0">
            <wp:extent cx="3619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190875"/>
                    </a:xfrm>
                    <a:prstGeom prst="rect">
                      <a:avLst/>
                    </a:prstGeom>
                  </pic:spPr>
                </pic:pic>
              </a:graphicData>
            </a:graphic>
          </wp:inline>
        </w:drawing>
      </w:r>
    </w:p>
    <w:p>
      <w:pPr>
        <w:spacing w:after="200"/>
        <w:jc w:val="center"/>
      </w:pPr>
      <w:r>
        <w:rPr>
          <w:i/>
          <w:iCs/>
          <w:color w:val="555555"/>
          <w:sz w:val="18"/>
          <w:szCs w:val="18"/>
        </w:rPr>
        <w:t xml:space="preserve">Figure 5 — Carte nationale des priorités éducatives par commune (export de l'application)</w:t>
      </w:r>
    </w:p>
    <w:p>
      <w:pPr>
        <w:pStyle w:val="Heading1"/>
        <w:spacing w:after="200" w:before="360"/>
      </w:pPr>
      <w:r>
        <w:rPr>
          <w:color w:val="00563F"/>
        </w:rPr>
        <w:t xml:space="preserve">7. Recommandations d'investissement</w:t>
      </w:r>
    </w:p>
    <w:p>
      <w:pPr>
        <w:spacing w:after="160" w:before="0"/>
      </w:pPr>
      <w:r>
        <w:rPr>
          <w:sz w:val="22"/>
          <w:szCs w:val="22"/>
        </w:rPr>
        <w:t xml:space="preserve">Pour chaque territoire, le moteur de recommandations produit jusqu'à cinq actions ordonnées par gravité du déficit, avec impact attendu (Très élevé → Modéré selon le percentile national) et score de confiance (fonction du volume de données, de la netteté du profil statistique et de la marge au seuil de déclenchement). À l'échelle nationale, les actions recommandées se répartissent ainsi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600"/>
        <w:gridCol w:w="3200"/>
      </w:tblGrid>
      <w:tr>
        <w:trPr>
          <w:tblHeader/>
        </w:trPr>
        <w:tc>
          <w:tcPr>
            <w:tcW w:type="dxa" w:w="6600"/>
            <w:shd w:fill="00563F" w:val="clear"/>
            <w:tcMar>
              <w:top w:type="dxa" w:w="60"/>
              <w:left w:type="dxa" w:w="100"/>
              <w:bottom w:type="dxa" w:w="60"/>
              <w:right w:type="dxa" w:w="100"/>
            </w:tcMar>
          </w:tcPr>
          <w:p>
            <w:pPr>
              <w:spacing w:after="0"/>
            </w:pPr>
            <w:r>
              <w:rPr>
                <w:b/>
                <w:bCs/>
                <w:color w:val="FFFFFF"/>
                <w:sz w:val="18"/>
                <w:szCs w:val="18"/>
              </w:rPr>
              <w:t xml:space="preserve">Investissement recommandé</w:t>
            </w:r>
          </w:p>
        </w:tc>
        <w:tc>
          <w:tcPr>
            <w:tcW w:type="dxa" w:w="3200"/>
            <w:shd w:fill="00563F" w:val="clear"/>
            <w:tcMar>
              <w:top w:type="dxa" w:w="60"/>
              <w:left w:type="dxa" w:w="100"/>
              <w:bottom w:type="dxa" w:w="60"/>
              <w:right w:type="dxa" w:w="100"/>
            </w:tcMar>
          </w:tcPr>
          <w:p>
            <w:pPr>
              <w:spacing w:after="0"/>
            </w:pPr>
            <w:r>
              <w:rPr>
                <w:b/>
                <w:bCs/>
                <w:color w:val="FFFFFF"/>
                <w:sz w:val="18"/>
                <w:szCs w:val="18"/>
              </w:rPr>
              <w:t xml:space="preserve">Communes concernées</w:t>
            </w:r>
          </w:p>
        </w:tc>
      </w:tr>
      <w:tr>
        <w:tc>
          <w:tcPr>
            <w:tcW w:type="dxa" w:w="6600"/>
            <w:tcMar>
              <w:top w:type="dxa" w:w="60"/>
              <w:left w:type="dxa" w:w="100"/>
              <w:bottom w:type="dxa" w:w="60"/>
              <w:right w:type="dxa" w:w="100"/>
            </w:tcMar>
          </w:tcPr>
          <w:p>
            <w:pPr>
              <w:spacing w:after="0"/>
            </w:pPr>
            <w:r>
              <w:rPr>
                <w:b w:val="false"/>
                <w:bCs w:val="false"/>
                <w:color w:val="1a1a1a"/>
                <w:sz w:val="18"/>
                <w:szCs w:val="18"/>
              </w:rPr>
              <w:t xml:space="preserve">Construire des bibliothèques scolaires</w:t>
            </w:r>
          </w:p>
        </w:tc>
        <w:tc>
          <w:tcPr>
            <w:tcW w:type="dxa" w:w="3200"/>
            <w:tcMar>
              <w:top w:type="dxa" w:w="60"/>
              <w:left w:type="dxa" w:w="100"/>
              <w:bottom w:type="dxa" w:w="60"/>
              <w:right w:type="dxa" w:w="100"/>
            </w:tcMar>
          </w:tcPr>
          <w:p>
            <w:pPr>
              <w:spacing w:after="0"/>
            </w:pPr>
            <w:r>
              <w:rPr>
                <w:b w:val="false"/>
                <w:bCs w:val="false"/>
                <w:color w:val="1a1a1a"/>
                <w:sz w:val="18"/>
                <w:szCs w:val="18"/>
              </w:rPr>
              <w:t xml:space="preserve">117</w:t>
            </w:r>
          </w:p>
        </w:tc>
      </w:tr>
      <w:tr>
        <w:tc>
          <w:tcPr>
            <w:tcW w:type="dxa" w:w="6600"/>
            <w:tcMar>
              <w:top w:type="dxa" w:w="60"/>
              <w:left w:type="dxa" w:w="100"/>
              <w:bottom w:type="dxa" w:w="60"/>
              <w:right w:type="dxa" w:w="100"/>
            </w:tcMar>
          </w:tcPr>
          <w:p>
            <w:pPr>
              <w:spacing w:after="0"/>
            </w:pPr>
            <w:r>
              <w:rPr>
                <w:b w:val="false"/>
                <w:bCs w:val="false"/>
                <w:color w:val="1a1a1a"/>
                <w:sz w:val="18"/>
                <w:szCs w:val="18"/>
              </w:rPr>
              <w:t xml:space="preserve">Construire des blocs de toilettes et latrines améliorées</w:t>
            </w:r>
          </w:p>
        </w:tc>
        <w:tc>
          <w:tcPr>
            <w:tcW w:type="dxa" w:w="3200"/>
            <w:tcMar>
              <w:top w:type="dxa" w:w="60"/>
              <w:left w:type="dxa" w:w="100"/>
              <w:bottom w:type="dxa" w:w="60"/>
              <w:right w:type="dxa" w:w="100"/>
            </w:tcMar>
          </w:tcPr>
          <w:p>
            <w:pPr>
              <w:spacing w:after="0"/>
            </w:pPr>
            <w:r>
              <w:rPr>
                <w:b w:val="false"/>
                <w:bCs w:val="false"/>
                <w:color w:val="1a1a1a"/>
                <w:sz w:val="18"/>
                <w:szCs w:val="18"/>
              </w:rPr>
              <w:t xml:space="preserve">90</w:t>
            </w:r>
          </w:p>
        </w:tc>
      </w:tr>
      <w:tr>
        <w:tc>
          <w:tcPr>
            <w:tcW w:type="dxa" w:w="6600"/>
            <w:tcMar>
              <w:top w:type="dxa" w:w="60"/>
              <w:left w:type="dxa" w:w="100"/>
              <w:bottom w:type="dxa" w:w="60"/>
              <w:right w:type="dxa" w:w="100"/>
            </w:tcMar>
          </w:tcPr>
          <w:p>
            <w:pPr>
              <w:spacing w:after="0"/>
            </w:pPr>
            <w:r>
              <w:rPr>
                <w:b w:val="false"/>
                <w:bCs w:val="false"/>
                <w:color w:val="1a1a1a"/>
                <w:sz w:val="18"/>
                <w:szCs w:val="18"/>
              </w:rPr>
              <w:t xml:space="preserve">Construire de nouvelles écoles pour densifier le maillage</w:t>
            </w:r>
          </w:p>
        </w:tc>
        <w:tc>
          <w:tcPr>
            <w:tcW w:type="dxa" w:w="3200"/>
            <w:tcMar>
              <w:top w:type="dxa" w:w="60"/>
              <w:left w:type="dxa" w:w="100"/>
              <w:bottom w:type="dxa" w:w="60"/>
              <w:right w:type="dxa" w:w="100"/>
            </w:tcMar>
          </w:tcPr>
          <w:p>
            <w:pPr>
              <w:spacing w:after="0"/>
            </w:pPr>
            <w:r>
              <w:rPr>
                <w:b w:val="false"/>
                <w:bCs w:val="false"/>
                <w:color w:val="1a1a1a"/>
                <w:sz w:val="18"/>
                <w:szCs w:val="18"/>
              </w:rPr>
              <w:t xml:space="preserve">53</w:t>
            </w:r>
          </w:p>
        </w:tc>
      </w:tr>
      <w:tr>
        <w:tc>
          <w:tcPr>
            <w:tcW w:type="dxa" w:w="6600"/>
            <w:tcMar>
              <w:top w:type="dxa" w:w="60"/>
              <w:left w:type="dxa" w:w="100"/>
              <w:bottom w:type="dxa" w:w="60"/>
              <w:right w:type="dxa" w:w="100"/>
            </w:tcMar>
          </w:tcPr>
          <w:p>
            <w:pPr>
              <w:spacing w:after="0"/>
            </w:pPr>
            <w:r>
              <w:rPr>
                <w:b w:val="false"/>
                <w:bCs w:val="false"/>
                <w:color w:val="1a1a1a"/>
                <w:sz w:val="18"/>
                <w:szCs w:val="18"/>
              </w:rPr>
              <w:t xml:space="preserve">Recruter et affecter des enseignants</w:t>
            </w:r>
          </w:p>
        </w:tc>
        <w:tc>
          <w:tcPr>
            <w:tcW w:type="dxa" w:w="3200"/>
            <w:tcMar>
              <w:top w:type="dxa" w:w="60"/>
              <w:left w:type="dxa" w:w="100"/>
              <w:bottom w:type="dxa" w:w="60"/>
              <w:right w:type="dxa" w:w="100"/>
            </w:tcMar>
          </w:tcPr>
          <w:p>
            <w:pPr>
              <w:spacing w:after="0"/>
            </w:pPr>
            <w:r>
              <w:rPr>
                <w:b w:val="false"/>
                <w:bCs w:val="false"/>
                <w:color w:val="1a1a1a"/>
                <w:sz w:val="18"/>
                <w:szCs w:val="18"/>
              </w:rPr>
              <w:t xml:space="preserve">46</w:t>
            </w:r>
          </w:p>
        </w:tc>
      </w:tr>
      <w:tr>
        <w:tc>
          <w:tcPr>
            <w:tcW w:type="dxa" w:w="6600"/>
            <w:tcMar>
              <w:top w:type="dxa" w:w="60"/>
              <w:left w:type="dxa" w:w="100"/>
              <w:bottom w:type="dxa" w:w="60"/>
              <w:right w:type="dxa" w:w="100"/>
            </w:tcMar>
          </w:tcPr>
          <w:p>
            <w:pPr>
              <w:spacing w:after="0"/>
            </w:pPr>
            <w:r>
              <w:rPr>
                <w:b w:val="false"/>
                <w:bCs w:val="false"/>
                <w:color w:val="1a1a1a"/>
                <w:sz w:val="18"/>
                <w:szCs w:val="18"/>
              </w:rPr>
              <w:t xml:space="preserve">Réhabiliter et électrifier les bâtiments scolaires</w:t>
            </w:r>
          </w:p>
        </w:tc>
        <w:tc>
          <w:tcPr>
            <w:tcW w:type="dxa" w:w="3200"/>
            <w:tcMar>
              <w:top w:type="dxa" w:w="60"/>
              <w:left w:type="dxa" w:w="100"/>
              <w:bottom w:type="dxa" w:w="60"/>
              <w:right w:type="dxa" w:w="100"/>
            </w:tcMar>
          </w:tcPr>
          <w:p>
            <w:pPr>
              <w:spacing w:after="0"/>
            </w:pPr>
            <w:r>
              <w:rPr>
                <w:b w:val="false"/>
                <w:bCs w:val="false"/>
                <w:color w:val="1a1a1a"/>
                <w:sz w:val="18"/>
                <w:szCs w:val="18"/>
              </w:rPr>
              <w:t xml:space="preserve">46</w:t>
            </w:r>
          </w:p>
        </w:tc>
      </w:tr>
      <w:tr>
        <w:tc>
          <w:tcPr>
            <w:tcW w:type="dxa" w:w="6600"/>
            <w:tcMar>
              <w:top w:type="dxa" w:w="60"/>
              <w:left w:type="dxa" w:w="100"/>
              <w:bottom w:type="dxa" w:w="60"/>
              <w:right w:type="dxa" w:w="100"/>
            </w:tcMar>
          </w:tcPr>
          <w:p>
            <w:pPr>
              <w:spacing w:after="0"/>
            </w:pPr>
            <w:r>
              <w:rPr>
                <w:b w:val="false"/>
                <w:bCs w:val="false"/>
                <w:color w:val="1a1a1a"/>
                <w:sz w:val="18"/>
                <w:szCs w:val="18"/>
              </w:rPr>
              <w:t xml:space="preserve">Aménager des terrains de sport</w:t>
            </w:r>
          </w:p>
        </w:tc>
        <w:tc>
          <w:tcPr>
            <w:tcW w:type="dxa" w:w="3200"/>
            <w:tcMar>
              <w:top w:type="dxa" w:w="60"/>
              <w:left w:type="dxa" w:w="100"/>
              <w:bottom w:type="dxa" w:w="60"/>
              <w:right w:type="dxa" w:w="100"/>
            </w:tcMar>
          </w:tcPr>
          <w:p>
            <w:pPr>
              <w:spacing w:after="0"/>
            </w:pPr>
            <w:r>
              <w:rPr>
                <w:b w:val="false"/>
                <w:bCs w:val="false"/>
                <w:color w:val="1a1a1a"/>
                <w:sz w:val="18"/>
                <w:szCs w:val="18"/>
              </w:rPr>
              <w:t xml:space="preserve">40</w:t>
            </w:r>
          </w:p>
        </w:tc>
      </w:tr>
      <w:tr>
        <w:tc>
          <w:tcPr>
            <w:tcW w:type="dxa" w:w="6600"/>
            <w:tcMar>
              <w:top w:type="dxa" w:w="60"/>
              <w:left w:type="dxa" w:w="100"/>
              <w:bottom w:type="dxa" w:w="60"/>
              <w:right w:type="dxa" w:w="100"/>
            </w:tcMar>
          </w:tcPr>
          <w:p>
            <w:pPr>
              <w:spacing w:after="0"/>
            </w:pPr>
            <w:r>
              <w:rPr>
                <w:b w:val="false"/>
                <w:bCs w:val="false"/>
                <w:color w:val="1a1a1a"/>
                <w:sz w:val="18"/>
                <w:szCs w:val="18"/>
              </w:rPr>
              <w:t xml:space="preserve">Développer l'offre préscolaire (jardins d'enfants)</w:t>
            </w:r>
          </w:p>
        </w:tc>
        <w:tc>
          <w:tcPr>
            <w:tcW w:type="dxa" w:w="3200"/>
            <w:tcMar>
              <w:top w:type="dxa" w:w="60"/>
              <w:left w:type="dxa" w:w="100"/>
              <w:bottom w:type="dxa" w:w="60"/>
              <w:right w:type="dxa" w:w="100"/>
            </w:tcMar>
          </w:tcPr>
          <w:p>
            <w:pPr>
              <w:spacing w:after="0"/>
            </w:pPr>
            <w:r>
              <w:rPr>
                <w:b w:val="false"/>
                <w:bCs w:val="false"/>
                <w:color w:val="1a1a1a"/>
                <w:sz w:val="18"/>
                <w:szCs w:val="18"/>
              </w:rPr>
              <w:t xml:space="preserve">40</w:t>
            </w:r>
          </w:p>
        </w:tc>
      </w:tr>
    </w:tbl>
    <w:p>
      <w:pPr>
        <w:spacing w:after="160" w:before="120"/>
      </w:pPr>
      <w:r>
        <w:rPr>
          <w:sz w:val="22"/>
          <w:szCs w:val="22"/>
        </w:rPr>
        <w:t xml:space="preserve">Exemple — Wawa 1, commune la plus prioritaire : 1) construire des blocs de toilettes et latrines améliorées (impact très élevé, confiance 68 %) ; 2) développer l'offre préscolaire (très élevé, 68 %) ; 3) réhabiliter et électrifier les bâtiments (élevé, 68 %) ; 4) construire des bibliothèques (moyen, 63 %).</w:t>
      </w:r>
    </w:p>
    <w:p>
      <w:pPr>
        <w:pStyle w:val="Heading1"/>
        <w:spacing w:after="200" w:before="360"/>
      </w:pPr>
      <w:r>
        <w:rPr>
          <w:color w:val="00563F"/>
        </w:rPr>
        <w:t xml:space="preserve">8. Limites et transparence</w:t>
      </w:r>
    </w:p>
    <w:p>
      <w:pPr>
        <w:pStyle w:val="ListParagraph"/>
        <w:numPr>
          <w:ilvl w:val="0"/>
          <w:numId w:val="2"/>
        </w:numPr>
        <w:spacing w:after="80"/>
      </w:pPr>
      <w:r>
        <w:rPr>
          <w:sz w:val="22"/>
          <w:szCs w:val="22"/>
        </w:rPr>
        <w:t xml:space="preserve">Résultats d'examens ouverts uniquement au niveau national → dimension territoriale approchée par un indice de conditions de réussite, pondéré à 15 % ;</w:t>
      </w:r>
    </w:p>
    <w:p>
      <w:pPr>
        <w:pStyle w:val="ListParagraph"/>
        <w:numPr>
          <w:ilvl w:val="0"/>
          <w:numId w:val="2"/>
        </w:numPr>
        <w:spacing w:after="80"/>
      </w:pPr>
      <w:r>
        <w:rPr>
          <w:sz w:val="22"/>
          <w:szCs w:val="22"/>
        </w:rPr>
        <w:t xml:space="preserve">Effectifs enseignants ouverts pour le seul préscolaire → complétés par les références nationales UNESCO-ISU ;</w:t>
      </w:r>
    </w:p>
    <w:p>
      <w:pPr>
        <w:pStyle w:val="ListParagraph"/>
        <w:numPr>
          <w:ilvl w:val="0"/>
          <w:numId w:val="2"/>
        </w:numPr>
        <w:spacing w:after="80"/>
      </w:pPr>
      <w:r>
        <w:rPr>
          <w:sz w:val="22"/>
          <w:szCs w:val="22"/>
        </w:rPr>
        <w:t xml:space="preserve">Populations communales non disponibles → taux exprimés pour 100 établissements et pour 100 km² plutôt que par habitant ;</w:t>
      </w:r>
    </w:p>
    <w:p>
      <w:pPr>
        <w:pStyle w:val="ListParagraph"/>
        <w:numPr>
          <w:ilvl w:val="0"/>
          <w:numId w:val="2"/>
        </w:numPr>
        <w:spacing w:after="80"/>
      </w:pPr>
      <w:r>
        <w:rPr>
          <w:sz w:val="22"/>
          <w:szCs w:val="22"/>
        </w:rPr>
        <w:t xml:space="preserve">Statut d'électrification absent de l'export par bâtiment → approché par l'âge du bâti et les taux nationaux (29 % à 66 % selon le niveau) ;</w:t>
      </w:r>
    </w:p>
    <w:p>
      <w:pPr>
        <w:pStyle w:val="ListParagraph"/>
        <w:numPr>
          <w:ilvl w:val="0"/>
          <w:numId w:val="2"/>
        </w:numPr>
        <w:spacing w:after="80"/>
      </w:pPr>
      <w:r>
        <w:rPr>
          <w:sz w:val="22"/>
          <w:szCs w:val="22"/>
        </w:rPr>
        <w:t xml:space="preserve">Frontières communales reconstruites par Voronoï → approximation visuelle sans effet sur les agrégats ;</w:t>
      </w:r>
    </w:p>
    <w:p>
      <w:pPr>
        <w:pStyle w:val="ListParagraph"/>
        <w:numPr>
          <w:ilvl w:val="0"/>
          <w:numId w:val="2"/>
        </w:numPr>
        <w:spacing w:after="80"/>
      </w:pPr>
      <w:r>
        <w:rPr>
          <w:sz w:val="22"/>
          <w:szCs w:val="22"/>
        </w:rPr>
        <w:t xml:space="preserve">Simulateur « toutes choses égales par ailleurs » → ordre de grandeur, pas étude de faisabilité.</w:t>
      </w:r>
    </w:p>
    <w:p>
      <w:pPr>
        <w:spacing w:after="160" w:before="0"/>
      </w:pPr>
      <w:r>
        <w:rPr>
          <w:i/>
          <w:iCs/>
          <w:sz w:val="22"/>
          <w:szCs w:val="22"/>
        </w:rPr>
        <w:t xml:space="preserve">Toutes ces limites sont documentées dans l'application elle-même : la crédibilité d'un outil d'aide à la décision repose sur la visibilité de ses hypothèses.</w:t>
      </w:r>
    </w:p>
    <w:p>
      <w:pPr>
        <w:pStyle w:val="Heading1"/>
        <w:spacing w:after="200" w:before="360"/>
      </w:pPr>
      <w:r>
        <w:rPr>
          <w:color w:val="00563F"/>
        </w:rPr>
        <w:t xml:space="preserve">9. Conclusion et perspectives</w:t>
      </w:r>
    </w:p>
    <w:p>
      <w:pPr>
        <w:spacing w:after="160" w:before="0"/>
      </w:pPr>
      <w:r>
        <w:rPr>
          <w:sz w:val="22"/>
          <w:szCs w:val="22"/>
        </w:rPr>
        <w:t xml:space="preserve">La solution démontre que les données ouvertes du Togo suffisent déjà à produire une lecture fine, explicable et actionnable des disparités éducatives territoriales. Le décideur peut répondre immédiatement aux questions du défi : quels territoires sont prioritaires, pourquoi, quels indicateurs expliquent leur classement, quels investissements auront le plus d'impact, comment un territoire se compare aux autres, et quels rapports produire pour appuyer les décisions.</w:t>
      </w:r>
    </w:p>
    <w:p>
      <w:pPr>
        <w:spacing w:after="160" w:before="0"/>
      </w:pPr>
      <w:r>
        <w:rPr>
          <w:sz w:val="22"/>
          <w:szCs w:val="22"/>
        </w:rPr>
        <w:t xml:space="preserve">Perspectives d'évolution :</w:t>
      </w:r>
    </w:p>
    <w:p>
      <w:pPr>
        <w:pStyle w:val="ListParagraph"/>
        <w:numPr>
          <w:ilvl w:val="0"/>
          <w:numId w:val="2"/>
        </w:numPr>
        <w:spacing w:after="80"/>
      </w:pPr>
      <w:r>
        <w:rPr>
          <w:sz w:val="22"/>
          <w:szCs w:val="22"/>
        </w:rPr>
        <w:t xml:space="preserve">Intégrer les résultats d'examens territorialisés dès leur publication en open data (la 4e dimension deviendrait pleinement observée) ;</w:t>
      </w:r>
    </w:p>
    <w:p>
      <w:pPr>
        <w:pStyle w:val="ListParagraph"/>
        <w:numPr>
          <w:ilvl w:val="0"/>
          <w:numId w:val="2"/>
        </w:numPr>
        <w:spacing w:after="80"/>
      </w:pPr>
      <w:r>
        <w:rPr>
          <w:sz w:val="22"/>
          <w:szCs w:val="22"/>
        </w:rPr>
        <w:t xml:space="preserve">Croiser avec les populations communales du RGPH-5 pour des taux par habitant ;</w:t>
      </w:r>
    </w:p>
    <w:p>
      <w:pPr>
        <w:pStyle w:val="ListParagraph"/>
        <w:numPr>
          <w:ilvl w:val="0"/>
          <w:numId w:val="2"/>
        </w:numPr>
        <w:spacing w:after="80"/>
      </w:pPr>
      <w:r>
        <w:rPr>
          <w:sz w:val="22"/>
          <w:szCs w:val="22"/>
        </w:rPr>
        <w:t xml:space="preserve">Suivre l'évolution des scores dans le temps (millésimes successifs des données) ;</w:t>
      </w:r>
    </w:p>
    <w:p>
      <w:pPr>
        <w:pStyle w:val="ListParagraph"/>
        <w:numPr>
          <w:ilvl w:val="0"/>
          <w:numId w:val="2"/>
        </w:numPr>
        <w:spacing w:after="80"/>
      </w:pPr>
      <w:r>
        <w:rPr>
          <w:sz w:val="22"/>
          <w:szCs w:val="22"/>
        </w:rPr>
        <w:t xml:space="preserve">Déployer l'application sur un serveur Shiny institutionnel pour un accès partagé.</w:t>
      </w:r>
    </w:p>
    <w:p>
      <w:pPr>
        <w:spacing w:after="160" w:before="200"/>
        <w:jc w:val="center"/>
      </w:pPr>
      <w:r>
        <w:rPr>
          <w:i/>
          <w:iCs/>
          <w:sz w:val="22"/>
          <w:szCs w:val="22"/>
        </w:rPr>
        <w:t xml:space="preserve">Derrière chaque point sur la carte, il y a des élèves, des enseignants et des familles : les données n'ont de valeur que si elles les servent.</w:t>
      </w:r>
    </w:p>
    <w:p>
      <w:pPr>
        <w:pStyle w:val="Heading1"/>
        <w:spacing w:after="200" w:before="360"/>
      </w:pPr>
      <w:r>
        <w:rPr>
          <w:color w:val="00563F"/>
        </w:rPr>
        <w:t xml:space="preserve">Annexes</w:t>
      </w:r>
    </w:p>
    <w:p>
      <w:pPr>
        <w:pStyle w:val="Heading2"/>
        <w:spacing w:after="160" w:before="280"/>
      </w:pPr>
      <w:r>
        <w:rPr>
          <w:color w:val="006A4E"/>
        </w:rPr>
        <w:t xml:space="preserve">A. Fichiers générés par le prétraitement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00563F" w:val="clear"/>
            <w:tcMar>
              <w:top w:type="dxa" w:w="60"/>
              <w:left w:type="dxa" w:w="100"/>
              <w:bottom w:type="dxa" w:w="60"/>
              <w:right w:type="dxa" w:w="100"/>
            </w:tcMar>
          </w:tcPr>
          <w:p>
            <w:pPr>
              <w:spacing w:after="0"/>
            </w:pPr>
            <w:r>
              <w:rPr>
                <w:b/>
                <w:bCs/>
                <w:color w:val="FFFFFF"/>
                <w:sz w:val="18"/>
                <w:szCs w:val="18"/>
              </w:rPr>
              <w:t xml:space="preserve">Fichier</w:t>
            </w:r>
          </w:p>
        </w:tc>
        <w:tc>
          <w:tcPr>
            <w:tcW w:type="dxa" w:w="6800"/>
            <w:shd w:fill="00563F" w:val="clear"/>
            <w:tcMar>
              <w:top w:type="dxa" w:w="60"/>
              <w:left w:type="dxa" w:w="100"/>
              <w:bottom w:type="dxa" w:w="60"/>
              <w:right w:type="dxa" w:w="100"/>
            </w:tcMar>
          </w:tcPr>
          <w:p>
            <w:pPr>
              <w:spacing w:after="0"/>
            </w:pPr>
            <w:r>
              <w:rPr>
                <w:b/>
                <w:bCs/>
                <w:color w:val="FFFFFF"/>
                <w:sz w:val="18"/>
                <w:szCs w:val="18"/>
              </w:rPr>
              <w:t xml:space="preserve">Contenu</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base_finale.rds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Bases nettoyées et fusionnées</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indicateurs.rds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Indicateurs des 3 échelons + dictionnaire</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cartes.rds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Polygones (régions, préfectures, communes), points</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acp.rds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Valeurs propres, charges, coordonnées factorielles</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classification.rds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Classes HCPC/K-means, silhouettes</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ispe.rds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Déficits, contributions, scores, rangs, priorités</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profils_classes.rds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Libellés et descriptions automatiques des profils</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recommandations.rds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Actions, impacts, confiances, explications</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resultats_nationaux.rds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Séries nationales et indicateurs UNESCO-ISU</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simulation.rds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Paramètres du simulateur (moyennes, écarts-types, bornes)</w:t>
            </w:r>
          </w:p>
        </w:tc>
      </w:tr>
      <w:tr>
        <w:tc>
          <w:tcPr>
            <w:tcW w:type="dxa" w:w="3000"/>
            <w:tcMar>
              <w:top w:type="dxa" w:w="60"/>
              <w:left w:type="dxa" w:w="100"/>
              <w:bottom w:type="dxa" w:w="60"/>
              <w:right w:type="dxa" w:w="100"/>
            </w:tcMar>
          </w:tcPr>
          <w:p>
            <w:pPr>
              <w:spacing w:after="0"/>
            </w:pPr>
            <w:r>
              <w:rPr>
                <w:b w:val="false"/>
                <w:bCs w:val="false"/>
                <w:color w:val="1a1a1a"/>
                <w:sz w:val="18"/>
                <w:szCs w:val="18"/>
              </w:rPr>
              <w:t xml:space="preserve">meta.rds</w:t>
            </w:r>
          </w:p>
        </w:tc>
        <w:tc>
          <w:tcPr>
            <w:tcW w:type="dxa" w:w="6800"/>
            <w:tcMar>
              <w:top w:type="dxa" w:w="60"/>
              <w:left w:type="dxa" w:w="100"/>
              <w:bottom w:type="dxa" w:w="60"/>
              <w:right w:type="dxa" w:w="100"/>
            </w:tcMar>
          </w:tcPr>
          <w:p>
            <w:pPr>
              <w:spacing w:after="0"/>
            </w:pPr>
            <w:r>
              <w:rPr>
                <w:b w:val="false"/>
                <w:bCs w:val="false"/>
                <w:color w:val="1a1a1a"/>
                <w:sz w:val="18"/>
                <w:szCs w:val="18"/>
              </w:rPr>
              <w:t xml:space="preserve">Volumes, dates, sources, note méthodologique</w:t>
            </w:r>
          </w:p>
        </w:tc>
      </w:tr>
    </w:tbl>
    <w:p>
      <w:pPr>
        <w:pStyle w:val="Heading2"/>
        <w:spacing w:after="160" w:before="280"/>
      </w:pPr>
      <w:r>
        <w:rPr>
          <w:color w:val="006A4E"/>
        </w:rPr>
        <w:t xml:space="preserve">B. Installation et utilisation</w:t>
      </w:r>
    </w:p>
    <w:p>
      <w:pPr>
        <w:pStyle w:val="ListParagraph"/>
        <w:numPr>
          <w:ilvl w:val="0"/>
          <w:numId w:val="2"/>
        </w:numPr>
        <w:spacing w:after="80"/>
      </w:pPr>
      <w:r>
        <w:rPr>
          <w:sz w:val="22"/>
          <w:szCs w:val="22"/>
        </w:rPr>
        <w:t xml:space="preserve">Prérequis : R ≥ 4.1 ; puis source("install_packages.R") une seule fois ;</w:t>
      </w:r>
    </w:p>
    <w:p>
      <w:pPr>
        <w:pStyle w:val="ListParagraph"/>
        <w:numPr>
          <w:ilvl w:val="0"/>
          <w:numId w:val="2"/>
        </w:numPr>
        <w:spacing w:after="80"/>
      </w:pPr>
      <w:r>
        <w:rPr>
          <w:sz w:val="22"/>
          <w:szCs w:val="22"/>
        </w:rPr>
        <w:t xml:space="preserve">Lancement : shiny::runApp("app") — les .rds fournis rendent l'application immédiatement opérationnelle ;</w:t>
      </w:r>
    </w:p>
    <w:p>
      <w:pPr>
        <w:pStyle w:val="ListParagraph"/>
        <w:numPr>
          <w:ilvl w:val="0"/>
          <w:numId w:val="2"/>
        </w:numPr>
        <w:spacing w:after="80"/>
      </w:pPr>
      <w:r>
        <w:rPr>
          <w:sz w:val="22"/>
          <w:szCs w:val="22"/>
        </w:rPr>
        <w:t xml:space="preserve">Mise à jour des données : remplacer les fichiers de data/brutes/ puis Rscript preprocessing/00_run_all.R ;</w:t>
      </w:r>
    </w:p>
    <w:p>
      <w:pPr>
        <w:pStyle w:val="ListParagraph"/>
        <w:numPr>
          <w:ilvl w:val="0"/>
          <w:numId w:val="2"/>
        </w:numPr>
        <w:spacing w:after="80"/>
      </w:pPr>
      <w:r>
        <w:rPr>
          <w:sz w:val="22"/>
          <w:szCs w:val="22"/>
        </w:rPr>
        <w:t xml:space="preserve">Personnalisation : en-tête (app/www/drapeau_togo.svg, armoiries_togo.svg), onglet Auteur (app/R/mod_auteur.R, app/www/auteur_photo.jpg).</w:t>
      </w:r>
    </w:p>
    <w:p>
      <w:pPr>
        <w:pStyle w:val="Heading2"/>
        <w:spacing w:after="160" w:before="280"/>
      </w:pPr>
      <w:r>
        <w:rPr>
          <w:color w:val="006A4E"/>
        </w:rPr>
        <w:t xml:space="preserve">C. Documents joints</w:t>
      </w:r>
    </w:p>
    <w:p>
      <w:pPr>
        <w:pStyle w:val="ListParagraph"/>
        <w:numPr>
          <w:ilvl w:val="0"/>
          <w:numId w:val="2"/>
        </w:numPr>
        <w:spacing w:after="80"/>
      </w:pPr>
      <w:r>
        <w:rPr>
          <w:sz w:val="22"/>
          <w:szCs w:val="22"/>
        </w:rPr>
        <w:t xml:space="preserve">Rapport méthodologique détaillé (docs/rapport_methodologique_SAD_Education_Togo.docx) ;</w:t>
      </w:r>
    </w:p>
    <w:p>
      <w:pPr>
        <w:pStyle w:val="ListParagraph"/>
        <w:numPr>
          <w:ilvl w:val="0"/>
          <w:numId w:val="2"/>
        </w:numPr>
        <w:spacing w:after="80"/>
      </w:pPr>
      <w:r>
        <w:rPr>
          <w:sz w:val="22"/>
          <w:szCs w:val="22"/>
        </w:rPr>
        <w:t xml:space="preserve">Base Excel de l'ACP et de la classification (docs/base_ACP_classification.xlsx) ;</w:t>
      </w:r>
    </w:p>
    <w:p>
      <w:pPr>
        <w:pStyle w:val="ListParagraph"/>
        <w:numPr>
          <w:ilvl w:val="0"/>
          <w:numId w:val="2"/>
        </w:numPr>
        <w:spacing w:after="80"/>
      </w:pPr>
      <w:r>
        <w:rPr>
          <w:sz w:val="22"/>
          <w:szCs w:val="22"/>
        </w:rPr>
        <w:t xml:space="preserve">Présentation PowerPoint (docs/presentation_SAD_Education_Togo.pptx).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Data Challenge Éducation – Défi 1 · </w:t>
    </w:r>
    <w:r>
      <w:rPr>
        <w:color w:val="555555"/>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A4E" w:sz="6"/>
      </w:pBdr>
      <w:jc w:val="right"/>
    </w:pPr>
    <w:r>
      <w:rPr>
        <w:color w:val="555555"/>
        <w:sz w:val="16"/>
        <w:szCs w:val="16"/>
      </w:rPr>
      <w:t xml:space="preserve">SAD Éducation Togo — Rapport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563F"/>
      <w:sz w:val="32"/>
      <w:szCs w:val="32"/>
    </w:rPr>
  </w:style>
  <w:style w:type="paragraph" w:styleId="Heading2">
    <w:name w:val="Heading 2"/>
    <w:basedOn w:val="Normal"/>
    <w:next w:val="Normal"/>
    <w:qFormat/>
    <w:rPr>
      <w:rFonts w:ascii="Calibri" w:cs="Calibri" w:eastAsia="Calibri" w:hAnsi="Calibri"/>
      <w:b/>
      <w:bCs/>
      <w:color w:val="006A4E"/>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ffc8e84bb693ecedd45f8476d1c3894600e9f4.png"/><Relationship Id="rId10" Type="http://schemas.openxmlformats.org/officeDocument/2006/relationships/image" Target="media/e42907c0fffc31b2f66f42e618a9172ba53d22b7.png"/><Relationship Id="rId11" Type="http://schemas.openxmlformats.org/officeDocument/2006/relationships/image" Target="media/6a2fa94aee42a8459e5772e1aa4fac1e385b6cc4.png"/><Relationship Id="rId12" Type="http://schemas.openxmlformats.org/officeDocument/2006/relationships/image" Target="media/d62376143384162a00e5b34b4a5ae2e98c343bca.png"/><Relationship Id="rId13" Type="http://schemas.openxmlformats.org/officeDocument/2006/relationships/image" Target="media/048006f73d68a78839386e5a4dfc07594482d8c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 SAD Éducation Togo</dc:title>
  <dc:creator>SAD Éducation Togo</dc:creator>
  <cp:lastModifiedBy>Un-named</cp:lastModifiedBy>
  <cp:revision>1</cp:revision>
  <dcterms:created xsi:type="dcterms:W3CDTF">2026-07-20T06:42:35.866Z</dcterms:created>
  <dcterms:modified xsi:type="dcterms:W3CDTF">2026-07-20T06:42:35.866Z</dcterms:modified>
</cp:coreProperties>
</file>

<file path=docProps/custom.xml><?xml version="1.0" encoding="utf-8"?>
<Properties xmlns="http://schemas.openxmlformats.org/officeDocument/2006/custom-properties" xmlns:vt="http://schemas.openxmlformats.org/officeDocument/2006/docPropsVTypes"/>
</file>